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Aptos Display" w:hAnsi="Aptos Display"/>
          <w:b/>
          <w:color w:val="1F374E"/>
          <w:sz w:val="34"/>
        </w:rPr>
        <w:t>TurboFanModel — Real-Time Physics-Based Turbofan</w:t>
        <w:br/>
        <w:t>Modeling Framework</w:t>
      </w:r>
    </w:p>
    <w:p>
      <w:pPr>
        <w:spacing w:after="100" w:line="240" w:lineRule="auto"/>
      </w:pPr>
      <w:r>
        <w:rPr>
          <w:b/>
        </w:rPr>
        <w:t xml:space="preserve">TurboFanModel is a real-time, system-level turbofan modeling framework for propulsion simulation, controls research, hardware-in-the-loop applications, engine-health studies, and aircraft integration. </w:t>
      </w:r>
      <w:r>
        <w:t>A complete engine definition can be constructed from public performance data, geometry, NASA/pyCycle component maps, and documented engineering analysis.</w:t>
      </w:r>
    </w:p>
    <w:p>
      <w:pPr>
        <w:spacing w:before="20" w:after="0"/>
      </w:pPr>
      <w:r>
        <w:rPr>
          <w:b/>
          <w:color w:val="1F374E"/>
          <w:sz w:val="26"/>
        </w:rPr>
        <w:t>Technical approach</w:t>
      </w:r>
    </w:p>
    <w:p>
      <w:pPr>
        <w:spacing w:after="80" w:line="235" w:lineRule="auto"/>
      </w:pPr>
      <w:r>
        <w:t>The engine is solved as a coupled aero-thermodynamic and mechanical system. Continuously interpolated fan, compressor, and turbine maps supply component performance while Brayton-cycle relationships and conservation equations determine pressures, temperatures, flows, shaft work, fuel requirements, and thrust. HP and LP spool response follows differential shaft work/torque equations with rotor inertia and is integrated in real time using numerical methods such as fourth-order Runge-Kutta. Inlet, ambient, Mach, bleed, accessory load, nozzle, and control effects are part of the same dynamic solution.</w:t>
      </w:r>
    </w:p>
    <w:p>
      <w:pPr>
        <w:spacing w:before="20" w:after="0"/>
      </w:pPr>
      <w:r>
        <w:rPr>
          <w:b/>
          <w:color w:val="1F374E"/>
          <w:sz w:val="26"/>
        </w:rPr>
        <w:t>Engine model generation and traceability</w:t>
      </w:r>
    </w:p>
    <w:p>
      <w:pPr>
        <w:spacing w:after="80" w:line="235" w:lineRule="auto"/>
      </w:pPr>
      <w:r>
        <w:t>An engine definition begins with the best available published geometry and performance data. Missing quantities are calculated where physical relationships permit and otherwise estimated from established engineering methods. NASA/pyCycle generic maps provide the aerodynamic basis and are scaled or reshaped to satisfy engine-specific design points and off-design constraints. Each defining value is identified as published, calculated, estimated, or tuned so its technical basis remains visible.</w:t>
      </w:r>
    </w:p>
    <w:p>
      <w:pPr>
        <w:spacing w:before="20" w:after="0"/>
      </w:pPr>
      <w:r>
        <w:rPr>
          <w:b/>
          <w:color w:val="1F374E"/>
          <w:sz w:val="26"/>
        </w:rPr>
        <w:t>Current demonstration — GE90-115B</w:t>
      </w:r>
    </w:p>
    <w:p>
      <w:pPr>
        <w:spacing w:after="80" w:line="235" w:lineRule="auto"/>
      </w:pPr>
      <w:r>
        <w:t>The first full demonstration is a GE90-115B model. Public GE, certification, NASA, and technical-literature data are being assembled into a master parameter set and used to generate GE90-specific Fan, LPC, HPC, HPT, and LPT maps from NASA/pyCycle data. Validation will progress from static and transient operation in TurboFanLab to altitude/Mach testing and full-aircraft operation with a Boeing 777 model using available flight-simulation programs such as FlightGear/JSBSim. The objective is to validate the modeling process across an operating envelope rather than at a single design point.</w:t>
      </w:r>
    </w:p>
    <w:p>
      <w:pPr>
        <w:spacing w:before="20" w:after="0"/>
      </w:pPr>
      <w:r>
        <w:rPr>
          <w:b/>
          <w:color w:val="1F374E"/>
          <w:sz w:val="26"/>
        </w:rPr>
        <w:t>Integration and research use</w:t>
      </w:r>
    </w:p>
    <w:p>
      <w:pPr>
        <w:spacing w:after="80" w:line="235" w:lineRule="auto"/>
      </w:pPr>
      <w:r>
        <w:t>TurboFanModel is designed as a self-contained real-time engine module with defined external inputs and outputs. It can be integrated with available flight-simulation programs and research environments such as FlightGear/JSBSim with minimal host-side disruption, and can also interface with external controls, instrumentation, actual hardware, and hardware-in-the-loop systems. The same architecture can support propulsion-control studies, hybrid-electric shaft-power extraction, engine-health and degradation research, aircraft/propulsion integration, and additional turbofan engine definitions.</w:t>
      </w:r>
    </w:p>
    <w:sectPr w:rsidR="00FC693F" w:rsidRPr="0006063C" w:rsidSect="00034616">
      <w:footerReference w:type="default" r:id="rId9"/>
      <w:pgSz w:w="12240" w:h="15840"/>
      <w:pgMar w:top="691" w:right="979" w:bottom="619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5A5A"/>
        <w:sz w:val="16"/>
      </w:rPr>
      <w:t>Draft v0.2 — for technical review and discussion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