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rFonts w:ascii="Arial" w:hAnsi="Arial"/>
          <w:b/>
          <w:color w:val="102D45"/>
          <w:sz w:val="56"/>
        </w:rPr>
        <w:t>TurboFan_7</w:t>
      </w:r>
    </w:p>
    <w:p>
      <w:pPr>
        <w:jc w:val="center"/>
      </w:pPr>
      <w:r>
        <w:rPr>
          <w:rFonts w:ascii="Arial" w:hAnsi="Arial"/>
          <w:color w:val="40515F"/>
          <w:sz w:val="32"/>
        </w:rPr>
        <w:t>TurboFanLab / TurboModel User Manual</w:t>
      </w:r>
    </w:p>
    <w:p>
      <w:pPr>
        <w:spacing w:before="240"/>
        <w:jc w:val="center"/>
      </w:pPr>
      <w:r>
        <w:rPr>
          <w:rFonts w:ascii="Arial" w:hAnsi="Arial"/>
          <w:b/>
          <w:color w:val="1F5F8B"/>
          <w:sz w:val="23"/>
        </w:rPr>
        <w:t>Revision 1.13</w:t>
      </w:r>
    </w:p>
    <w:p>
      <w:pPr>
        <w:spacing w:before="480"/>
        <w:jc w:val="center"/>
      </w:pPr>
      <w:r>
        <w:rPr>
          <w:rFonts w:ascii="Arial" w:hAnsi="Arial"/>
          <w:color w:val="5A6774"/>
          <w:sz w:val="21"/>
        </w:rPr>
      </w:r>
      <w:r>
        <w:rPr>
          <w:rFonts w:ascii="Arial" w:hAnsi="Arial"/>
          <w:sz w:val="21"/>
        </w:rPr>
        <w:t>Project contact: contact@turbofanmodeling.org</w:t>
      </w:r>
    </w:p>
    <w:p>
      <w:pPr>
        <w:spacing w:before="680"/>
        <w:ind w:left="1008" w:right="1008"/>
        <w:jc w:val="center"/>
      </w:pPr>
      <w:r>
        <w:rPr>
          <w:rFonts w:ascii="Arial" w:hAnsi="Arial"/>
          <w:i/>
          <w:color w:val="344553"/>
          <w:sz w:val="24"/>
        </w:rPr>
        <w:t>TurboFan_7 is a high-fidelity, software model of a modern turbofan engine intended for engineering development, simulation, and test.</w:t>
      </w:r>
    </w:p>
    <w:p>
      <w:r>
        <w:br w:type="page"/>
      </w:r>
    </w:p>
    <w:p>
      <w:pPr>
        <w:pStyle w:val="Heading1"/>
        <w:pageBreakBefore w:val="0"/>
      </w:pPr>
      <w:r>
        <w:rPr>
          <w:rFonts w:ascii="Arial" w:hAnsi="Arial"/>
          <w:b/>
          <w:color w:val="153F60"/>
          <w:sz w:val="36"/>
        </w:rPr>
        <w:t>Contents</w:t>
      </w:r>
    </w:p>
    <w:p>
      <w:pPr>
        <w:spacing w:after="40"/>
        <w:ind w:left="0"/>
      </w:pPr>
      <w:r>
        <w:rPr>
          <w:rFonts w:ascii="Arial" w:hAnsi="Arial"/>
          <w:b/>
          <w:color w:val="1F5F8B"/>
          <w:sz w:val="21"/>
        </w:rPr>
        <w:t>1. Purpose and Scope</w:t>
      </w:r>
    </w:p>
    <w:p>
      <w:pPr>
        <w:spacing w:after="40"/>
        <w:ind w:left="0"/>
      </w:pPr>
      <w:r>
        <w:rPr>
          <w:rFonts w:ascii="Arial" w:hAnsi="Arial"/>
          <w:b/>
          <w:color w:val="1F5F8B"/>
          <w:sz w:val="21"/>
        </w:rPr>
        <w:t>2. System Architecture</w:t>
      </w:r>
    </w:p>
    <w:p>
      <w:pPr>
        <w:spacing w:after="40"/>
        <w:ind w:left="0"/>
      </w:pPr>
      <w:r>
        <w:rPr>
          <w:rFonts w:ascii="Arial" w:hAnsi="Arial"/>
          <w:b/>
          <w:color w:val="1F5F8B"/>
          <w:sz w:val="21"/>
        </w:rPr>
        <w:t>3. TurboFanLab</w:t>
      </w:r>
    </w:p>
    <w:p>
      <w:pPr>
        <w:spacing w:after="40"/>
        <w:ind w:left="360"/>
      </w:pPr>
      <w:r>
        <w:rPr>
          <w:rFonts w:ascii="Arial" w:hAnsi="Arial"/>
          <w:b w:val="0"/>
          <w:color w:val="465562"/>
          <w:sz w:val="21"/>
        </w:rPr>
        <w:t>3.1 Starting the Lab</w:t>
      </w:r>
    </w:p>
    <w:p>
      <w:pPr>
        <w:spacing w:after="40"/>
        <w:ind w:left="360"/>
      </w:pPr>
      <w:r>
        <w:rPr>
          <w:rFonts w:ascii="Arial" w:hAnsi="Arial"/>
          <w:b w:val="0"/>
          <w:color w:val="465562"/>
          <w:sz w:val="21"/>
        </w:rPr>
        <w:t>3.2 Main controls</w:t>
      </w:r>
    </w:p>
    <w:p>
      <w:pPr>
        <w:spacing w:after="40"/>
        <w:ind w:left="360"/>
      </w:pPr>
      <w:r>
        <w:rPr>
          <w:rFonts w:ascii="Arial" w:hAnsi="Arial"/>
          <w:b w:val="0"/>
          <w:color w:val="465562"/>
          <w:sz w:val="21"/>
        </w:rPr>
        <w:t>3.3 Test Conditions and Inlet Values</w:t>
      </w:r>
    </w:p>
    <w:p>
      <w:pPr>
        <w:spacing w:after="40"/>
        <w:ind w:left="360"/>
      </w:pPr>
      <w:r>
        <w:rPr>
          <w:rFonts w:ascii="Arial" w:hAnsi="Arial"/>
          <w:b w:val="0"/>
          <w:color w:val="465562"/>
          <w:sz w:val="21"/>
        </w:rPr>
        <w:t>3.4 Starting an engine</w:t>
      </w:r>
    </w:p>
    <w:p>
      <w:pPr>
        <w:spacing w:after="40"/>
        <w:ind w:left="360"/>
      </w:pPr>
      <w:r>
        <w:rPr>
          <w:rFonts w:ascii="Arial" w:hAnsi="Arial"/>
          <w:b w:val="0"/>
          <w:color w:val="465562"/>
          <w:sz w:val="21"/>
        </w:rPr>
        <w:t>3.5 Test Guide</w:t>
      </w:r>
    </w:p>
    <w:p>
      <w:pPr>
        <w:spacing w:after="40"/>
        <w:ind w:left="360"/>
      </w:pPr>
      <w:r>
        <w:rPr>
          <w:rFonts w:ascii="Arial" w:hAnsi="Arial"/>
          <w:b w:val="0"/>
          <w:color w:val="465562"/>
          <w:sz w:val="21"/>
        </w:rPr>
        <w:t>3.6 LOCAL TEST and SIMULATOR modes</w:t>
      </w:r>
    </w:p>
    <w:p>
      <w:pPr>
        <w:spacing w:after="40"/>
        <w:ind w:left="360"/>
      </w:pPr>
      <w:r>
        <w:rPr>
          <w:rFonts w:ascii="Arial" w:hAnsi="Arial"/>
          <w:b w:val="0"/>
          <w:color w:val="465562"/>
          <w:sz w:val="21"/>
        </w:rPr>
        <w:t>3.7 Selecting data for a test flight</w:t>
      </w:r>
    </w:p>
    <w:p>
      <w:pPr>
        <w:spacing w:after="40"/>
        <w:ind w:left="360"/>
      </w:pPr>
      <w:r>
        <w:rPr>
          <w:rFonts w:ascii="Arial" w:hAnsi="Arial"/>
          <w:b w:val="0"/>
          <w:color w:val="465562"/>
          <w:sz w:val="21"/>
        </w:rPr>
        <w:t>3.8 NETWORK panel</w:t>
      </w:r>
    </w:p>
    <w:p>
      <w:pPr>
        <w:spacing w:after="40"/>
        <w:ind w:left="360"/>
      </w:pPr>
      <w:r>
        <w:rPr>
          <w:rFonts w:ascii="Arial" w:hAnsi="Arial"/>
          <w:b w:val="0"/>
          <w:color w:val="465562"/>
          <w:sz w:val="21"/>
        </w:rPr>
        <w:t>3.9 Development workflow</w:t>
      </w:r>
    </w:p>
    <w:p>
      <w:pPr>
        <w:spacing w:after="40"/>
        <w:ind w:left="360"/>
      </w:pPr>
      <w:r>
        <w:rPr>
          <w:rFonts w:ascii="Arial" w:hAnsi="Arial"/>
          <w:b w:val="0"/>
          <w:color w:val="465562"/>
          <w:sz w:val="21"/>
        </w:rPr>
        <w:t>3.10 Tips for Modeling</w:t>
      </w:r>
    </w:p>
    <w:p>
      <w:pPr>
        <w:spacing w:after="40"/>
        <w:ind w:left="0"/>
      </w:pPr>
      <w:r>
        <w:rPr>
          <w:rFonts w:ascii="Arial" w:hAnsi="Arial"/>
          <w:b/>
          <w:color w:val="1F5F8B"/>
          <w:sz w:val="21"/>
        </w:rPr>
        <w:t>4. Working with Model Parameters</w:t>
      </w:r>
    </w:p>
    <w:p>
      <w:pPr>
        <w:spacing w:after="40"/>
        <w:ind w:left="360"/>
      </w:pPr>
      <w:r>
        <w:rPr>
          <w:rFonts w:ascii="Arial" w:hAnsi="Arial"/>
          <w:b w:val="0"/>
          <w:color w:val="465562"/>
          <w:sz w:val="21"/>
        </w:rPr>
        <w:t>4.1 Parameter states</w:t>
      </w:r>
    </w:p>
    <w:p>
      <w:pPr>
        <w:spacing w:after="40"/>
        <w:ind w:left="360"/>
      </w:pPr>
      <w:r>
        <w:rPr>
          <w:rFonts w:ascii="Arial" w:hAnsi="Arial"/>
          <w:b w:val="0"/>
          <w:color w:val="465562"/>
          <w:sz w:val="21"/>
        </w:rPr>
        <w:t>4.2 Saving and Reusing Parameter Files</w:t>
      </w:r>
    </w:p>
    <w:p>
      <w:pPr>
        <w:spacing w:after="40"/>
        <w:ind w:left="360"/>
      </w:pPr>
      <w:r>
        <w:rPr>
          <w:rFonts w:ascii="Arial" w:hAnsi="Arial"/>
          <w:b w:val="0"/>
          <w:color w:val="465562"/>
          <w:sz w:val="21"/>
        </w:rPr>
        <w:t>4.3 TurboModel Update</w:t>
      </w:r>
    </w:p>
    <w:p>
      <w:pPr>
        <w:spacing w:after="40"/>
        <w:ind w:left="0"/>
      </w:pPr>
      <w:r>
        <w:rPr>
          <w:rFonts w:ascii="Arial" w:hAnsi="Arial"/>
          <w:b/>
          <w:color w:val="1F5F8B"/>
          <w:sz w:val="21"/>
        </w:rPr>
        <w:t>5. TurboMgr Modes</w:t>
      </w:r>
    </w:p>
    <w:p>
      <w:pPr>
        <w:spacing w:after="40"/>
        <w:ind w:left="360"/>
      </w:pPr>
      <w:r>
        <w:rPr>
          <w:rFonts w:ascii="Arial" w:hAnsi="Arial"/>
          <w:b w:val="0"/>
          <w:color w:val="465562"/>
          <w:sz w:val="21"/>
        </w:rPr>
        <w:t>5.1 Operating Modes</w:t>
      </w:r>
    </w:p>
    <w:p>
      <w:pPr>
        <w:spacing w:after="40"/>
        <w:ind w:left="360"/>
      </w:pPr>
      <w:r>
        <w:rPr>
          <w:rFonts w:ascii="Arial" w:hAnsi="Arial"/>
          <w:b w:val="0"/>
          <w:color w:val="465562"/>
          <w:sz w:val="21"/>
        </w:rPr>
        <w:t>5.2 Control and Data Interface</w:t>
      </w:r>
    </w:p>
    <w:p>
      <w:pPr>
        <w:spacing w:after="40"/>
        <w:ind w:left="0"/>
      </w:pPr>
      <w:r>
        <w:rPr>
          <w:rFonts w:ascii="Arial" w:hAnsi="Arial"/>
          <w:b/>
          <w:color w:val="1F5F8B"/>
          <w:sz w:val="21"/>
        </w:rPr>
        <w:t>6. Parameters</w:t>
      </w:r>
    </w:p>
    <w:p>
      <w:pPr>
        <w:spacing w:after="40"/>
        <w:ind w:left="0"/>
      </w:pPr>
      <w:r>
        <w:rPr>
          <w:rFonts w:ascii="Arial" w:hAnsi="Arial"/>
          <w:b/>
          <w:color w:val="1F5F8B"/>
          <w:sz w:val="21"/>
        </w:rPr>
        <w:t>Appendix - Modeling Turbofans</w:t>
      </w:r>
    </w:p>
    <w:p>
      <w:r>
        <w:br w:type="page"/>
      </w:r>
    </w:p>
    <w:p>
      <w:pPr>
        <w:pStyle w:val="Heading1"/>
        <w:keepNext/>
        <w:pageBreakBefore w:val="0"/>
        <w:spacing w:before="280"/>
      </w:pPr>
      <w:r>
        <w:rPr>
          <w:rFonts w:ascii="Arial" w:hAnsi="Arial"/>
          <w:b/>
          <w:color w:val="153F60"/>
          <w:sz w:val="36"/>
        </w:rPr>
        <w:t>1. Purpose and Scope</w:t>
      </w:r>
    </w:p>
    <w:p>
      <w:pPr>
        <w:spacing w:before="0" w:after="120" w:line="259" w:lineRule="auto"/>
      </w:pPr>
      <w:r>
        <w:rPr>
          <w:rFonts w:ascii="Arial" w:hAnsi="Arial"/>
          <w:b/>
          <w:sz w:val="24"/>
        </w:rPr>
        <w:t>TurboFan_7 is a high-fidelity, software model of a modern turbofan engine intended for engineering development, simulation, and test.</w:t>
      </w:r>
    </w:p>
    <w:p>
      <w:pPr>
        <w:spacing w:before="0" w:after="120" w:line="259" w:lineRule="auto"/>
      </w:pPr>
      <w:r>
        <w:rPr>
          <w:rFonts w:ascii="Arial" w:hAnsi="Arial"/>
          <w:b/>
          <w:sz w:val="24"/>
        </w:rPr>
        <w:t>TurboModel</w:t>
      </w:r>
      <w:r>
        <w:rPr>
          <w:rFonts w:ascii="Arial" w:hAnsi="Arial"/>
          <w:sz w:val="24"/>
        </w:rPr>
        <w:t xml:space="preserve"> performs the engine calculation. Its behavior is produced from coupled thermodynamic, aerodynamic, mechanical, and control relationships so that airflow, pressure, temperature, fuel flow, spool speed, turbine/compressor work, thrust, and transient response evolve from the modeled engine physics rather than from a scripted sequence of indications.</w:t>
      </w:r>
    </w:p>
    <w:p>
      <w:pPr>
        <w:spacing w:before="0" w:after="120" w:line="259" w:lineRule="auto"/>
      </w:pPr>
      <w:r>
        <w:rPr>
          <w:rFonts w:ascii="Arial" w:hAnsi="Arial"/>
          <w:b/>
          <w:sz w:val="24"/>
        </w:rPr>
        <w:t>TurboMgr</w:t>
      </w:r>
      <w:r>
        <w:rPr>
          <w:rFonts w:ascii="Arial" w:hAnsi="Arial"/>
          <w:sz w:val="24"/>
        </w:rPr>
        <w:t xml:space="preserve"> provides the multi-engine control and data interface. It starts and manages the required TurboModel engine instances, routes commands and operating conditions to the correct engine, and returns calculated thrust and engine data to the host simulation. The managed architecture is intended to support as many as four independent engines.</w:t>
      </w:r>
    </w:p>
    <w:p>
      <w:pPr>
        <w:spacing w:before="0" w:after="120" w:line="259" w:lineRule="auto"/>
      </w:pPr>
      <w:r>
        <w:rPr>
          <w:rFonts w:ascii="Arial" w:hAnsi="Arial"/>
          <w:b/>
          <w:sz w:val="24"/>
        </w:rPr>
        <w:t>TurboFanLab</w:t>
      </w:r>
      <w:r>
        <w:rPr>
          <w:rFonts w:ascii="Arial" w:hAnsi="Arial"/>
          <w:sz w:val="24"/>
        </w:rPr>
        <w:t xml:space="preserve"> is the engineering interface used to develop and define an engine configuration, conduct controlled static and flight-coupled testing, adjust exposed model parameters, monitor internal response, and collect engineering data. During flight testing it provides the test and recording link used to capture model data and video for later analysis, comparison, and diagnosis of model behavior or problems.</w:t>
      </w:r>
    </w:p>
    <w:p>
      <w:pPr>
        <w:spacing w:before="0" w:after="120" w:line="259" w:lineRule="auto"/>
      </w:pPr>
      <w:r>
        <w:rPr>
          <w:rFonts w:ascii="Arial" w:hAnsi="Arial"/>
          <w:sz w:val="24"/>
        </w:rPr>
        <w:t>The objective is a single engine model that can be developed and evaluated independently, then operated through TurboMgr in a simulation without creating a second or simplified version of the engine physics.</w:t>
      </w:r>
    </w:p>
    <w:p>
      <w:pPr>
        <w:pStyle w:val="Heading1"/>
        <w:keepNext/>
        <w:pageBreakBefore w:val="0"/>
        <w:spacing w:before="280"/>
      </w:pPr>
      <w:r>
        <w:rPr>
          <w:rFonts w:ascii="Arial" w:hAnsi="Arial"/>
          <w:b/>
          <w:color w:val="153F60"/>
          <w:sz w:val="36"/>
        </w:rPr>
        <w:t>2. System Architecture</w:t>
      </w:r>
    </w:p>
    <w:p>
      <w:pPr>
        <w:spacing w:before="80" w:after="60"/>
      </w:pPr>
      <w:r>
        <w:rPr>
          <w:rFonts w:ascii="Arial" w:hAnsi="Arial"/>
          <w:b/>
          <w:color w:val="1F5F8B"/>
          <w:sz w:val="23"/>
        </w:rPr>
        <w:t>TurboMgr</w:t>
      </w:r>
    </w:p>
    <w:p>
      <w:pPr>
        <w:spacing w:before="0" w:after="80" w:line="259" w:lineRule="auto"/>
      </w:pPr>
      <w:r>
        <w:rPr>
          <w:rFonts w:ascii="Arial" w:hAnsi="Arial"/>
          <w:sz w:val="22"/>
        </w:rPr>
        <w:t>Simulation-interface and routing layer. Receives simulation controls and environmental data, routes them to the selected engine, and returns thrust, engine state, and instrumentation.</w:t>
      </w:r>
    </w:p>
    <w:p>
      <w:pPr>
        <w:spacing w:before="80" w:after="60"/>
      </w:pPr>
      <w:r>
        <w:rPr>
          <w:rFonts w:ascii="Arial" w:hAnsi="Arial"/>
          <w:b/>
          <w:color w:val="1F5F8B"/>
          <w:sz w:val="23"/>
        </w:rPr>
        <w:t>TurboModel</w:t>
      </w:r>
    </w:p>
    <w:p>
      <w:pPr>
        <w:spacing w:before="0" w:after="80" w:line="259" w:lineRule="auto"/>
      </w:pPr>
      <w:r>
        <w:rPr>
          <w:rFonts w:ascii="Arial" w:hAnsi="Arial"/>
          <w:sz w:val="22"/>
        </w:rPr>
        <w:t>Owns the engine physics, FCU, component maps, spool dynamics, gas path, thrust/reverse thrust, and model baseline parameters.</w:t>
      </w:r>
    </w:p>
    <w:p>
      <w:pPr>
        <w:spacing w:before="80" w:after="60"/>
      </w:pPr>
      <w:r>
        <w:rPr>
          <w:rFonts w:ascii="Arial" w:hAnsi="Arial"/>
          <w:b/>
          <w:color w:val="1F5F8B"/>
          <w:sz w:val="23"/>
        </w:rPr>
        <w:t>TurboFanLab</w:t>
      </w:r>
    </w:p>
    <w:p>
      <w:pPr>
        <w:spacing w:before="0" w:after="80" w:line="259" w:lineRule="auto"/>
      </w:pPr>
      <w:r>
        <w:rPr>
          <w:rFonts w:ascii="Arial" w:hAnsi="Arial"/>
          <w:sz w:val="22"/>
        </w:rPr>
        <w:t>Engineering/test interface for model development, parameter adjustment, instrumentation, data/video capture, static testing, and flight-test support.</w:t>
      </w:r>
    </w:p>
    <w:p>
      <w:pPr>
        <w:spacing w:before="0" w:after="120" w:line="259" w:lineRule="auto"/>
      </w:pPr>
      <w:r>
        <w:rPr>
          <w:rFonts w:ascii="Arial" w:hAnsi="Arial"/>
          <w:sz w:val="24"/>
        </w:rPr>
        <w:t xml:space="preserve">TurboMgr is the simulation-facing boundary for the engine package. It accepts the defined controls and operating environment from the host simulation, routes them to the appropriate TurboModel engine channel, and returns calculated thrust and engine data. TurboMgr is designed to support configurations of up to </w:t>
      </w:r>
      <w:r>
        <w:rPr>
          <w:rFonts w:ascii="Arial" w:hAnsi="Arial"/>
          <w:b/>
          <w:sz w:val="24"/>
        </w:rPr>
        <w:t>four independent engine instances</w:t>
      </w:r>
      <w:r>
        <w:rPr>
          <w:rFonts w:ascii="Arial" w:hAnsi="Arial"/>
          <w:sz w:val="24"/>
        </w:rPr>
        <w:t>.</w:t>
      </w:r>
    </w:p>
    <w:p>
      <w:pPr>
        <w:pStyle w:val="Heading1"/>
        <w:keepNext/>
        <w:pageBreakBefore w:val="0"/>
        <w:spacing w:before="280"/>
      </w:pPr>
      <w:r>
        <w:rPr>
          <w:rFonts w:ascii="Arial" w:hAnsi="Arial"/>
          <w:b/>
          <w:color w:val="153F60"/>
          <w:sz w:val="36"/>
        </w:rPr>
        <w:t>3. TurboFanLab</w:t>
      </w:r>
    </w:p>
    <w:p>
      <w:pPr>
        <w:spacing w:before="0" w:after="120" w:line="259" w:lineRule="auto"/>
      </w:pPr>
      <w:r>
        <w:rPr>
          <w:rFonts w:ascii="Arial" w:hAnsi="Arial"/>
          <w:b/>
          <w:sz w:val="24"/>
        </w:rPr>
        <w:t>TurboMgr and TurboModel provide the normal simulation engine path; TurboFanLab is added when engineering or test support is required.</w:t>
      </w:r>
    </w:p>
    <w:p>
      <w:pPr>
        <w:spacing w:before="0" w:after="120" w:line="259" w:lineRule="auto"/>
      </w:pPr>
      <w:r>
        <w:rPr>
          <w:rFonts w:ascii="Arial" w:hAnsi="Arial"/>
          <w:sz w:val="24"/>
        </w:rPr>
        <w:t>TurboMgr starts and manages the required TurboModel engine instance or instances, establishes their control and data channels, routes the host-simulation commands and operating conditions, and returns the calculated engine results. TurboModel uses its accepted baseline values and performs the engine calculation independently.</w:t>
      </w:r>
    </w:p>
    <w:p>
      <w:pPr>
        <w:spacing w:before="0" w:after="120" w:line="259" w:lineRule="auto"/>
      </w:pPr>
      <w:r>
        <w:rPr>
          <w:rFonts w:ascii="Arial" w:hAnsi="Arial"/>
          <w:sz w:val="24"/>
        </w:rPr>
        <w:t>TurboFanLab is not required for normal flight/simulation operations. When test or development support is requested, TurboMgr and the managed engine channels make the required engine data available to TurboFanLab so the selected engine can be monitored, adjusted, and recorded without changing the simulation-facing interface.</w:t>
      </w:r>
    </w:p>
    <w:p>
      <w:pPr>
        <w:pStyle w:val="Heading2"/>
        <w:keepNext/>
      </w:pPr>
      <w:r>
        <w:rPr>
          <w:rFonts w:ascii="Arial" w:hAnsi="Arial"/>
          <w:b/>
          <w:color w:val="1D587D"/>
          <w:sz w:val="28"/>
        </w:rPr>
        <w:t>What TurboFanLab adds</w:t>
      </w:r>
    </w:p>
    <w:p>
      <w:pPr>
        <w:pStyle w:val="ListBullet"/>
        <w:spacing w:after="60"/>
        <w:ind w:left="360"/>
      </w:pPr>
      <w:r>
        <w:rPr>
          <w:rFonts w:ascii="Arial" w:hAnsi="Arial"/>
          <w:sz w:val="23"/>
        </w:rPr>
        <w:t>Live access to selected model parameters during controlled development tests.</w:t>
      </w:r>
    </w:p>
    <w:p>
      <w:pPr>
        <w:pStyle w:val="ListBullet"/>
        <w:spacing w:after="60"/>
        <w:ind w:left="360"/>
      </w:pPr>
      <w:r>
        <w:rPr>
          <w:rFonts w:ascii="Arial" w:hAnsi="Arial"/>
          <w:sz w:val="23"/>
        </w:rPr>
        <w:t>Save/load of experimental parameter files for repeat testing and comparison.</w:t>
      </w:r>
    </w:p>
    <w:p>
      <w:pPr>
        <w:pStyle w:val="ListBullet"/>
        <w:spacing w:after="60"/>
        <w:ind w:left="360"/>
      </w:pPr>
      <w:r>
        <w:rPr>
          <w:rFonts w:ascii="Arial" w:hAnsi="Arial"/>
          <w:sz w:val="23"/>
        </w:rPr>
        <w:t>Engineering instrumentation and synchronized data/video capture for analysis.</w:t>
      </w:r>
    </w:p>
    <w:p>
      <w:pPr>
        <w:pStyle w:val="ListBullet"/>
        <w:spacing w:after="60"/>
        <w:ind w:left="360"/>
      </w:pPr>
      <w:r>
        <w:rPr>
          <w:rFonts w:ascii="Arial" w:hAnsi="Arial"/>
          <w:sz w:val="23"/>
        </w:rPr>
        <w:t>Static-test operation without a host flight simulation.</w:t>
      </w:r>
    </w:p>
    <w:p>
      <w:pPr>
        <w:pStyle w:val="ListBullet"/>
        <w:spacing w:after="60"/>
        <w:ind w:left="360"/>
      </w:pPr>
      <w:r>
        <w:rPr>
          <w:rFonts w:ascii="Arial" w:hAnsi="Arial"/>
          <w:sz w:val="23"/>
        </w:rPr>
        <w:t>Flight-test support while the host simulation, TurboMgr, and TurboModel continue to use the normal control/data path.</w:t>
      </w:r>
    </w:p>
    <w:p>
      <w:pPr>
        <w:spacing w:before="0" w:after="120" w:line="259" w:lineRule="auto"/>
      </w:pPr>
      <w:r>
        <w:rPr>
          <w:rFonts w:ascii="Arial" w:hAnsi="Arial"/>
          <w:sz w:val="24"/>
        </w:rPr>
        <w:t>TurboFanLab is the engineering console for starting and exercising a selected TurboModel engine, choosing test data, monitoring the model, and recording static or simulator-coupled tests.</w:t>
      </w:r>
    </w:p>
    <w:p>
      <w:pPr>
        <w:pStyle w:val="Heading2"/>
        <w:keepNext/>
      </w:pPr>
      <w:r>
        <w:rPr>
          <w:rFonts w:ascii="Arial" w:hAnsi="Arial"/>
          <w:b/>
          <w:color w:val="1D587D"/>
          <w:sz w:val="28"/>
        </w:rPr>
        <w:t>3.1 Starting the Lab</w:t>
      </w:r>
    </w:p>
    <w:p>
      <w:pPr>
        <w:spacing w:after="100"/>
        <w:ind w:left="259" w:hanging="259"/>
      </w:pPr>
      <w:r>
        <w:rPr>
          <w:rFonts w:ascii="Arial" w:hAnsi="Arial"/>
          <w:b/>
          <w:color w:val="1F5F8B"/>
          <w:sz w:val="23"/>
        </w:rPr>
        <w:t xml:space="preserve">1. </w:t>
      </w:r>
      <w:r>
        <w:rPr>
          <w:rFonts w:ascii="Arial" w:hAnsi="Arial"/>
          <w:b/>
          <w:sz w:val="23"/>
        </w:rPr>
        <w:t>Start the required TurboFan_7 operating configuration.</w:t>
      </w:r>
      <w:r>
        <w:rPr>
          <w:rFonts w:ascii="Arial" w:hAnsi="Arial"/>
          <w:sz w:val="23"/>
        </w:rPr>
        <w:t xml:space="preserve"> For a static engine test, start the TurboModel/TurboFanLab configuration. For simulator-coupled testing, start the simulator/TurboMgr/TurboModel configuration and then TurboFanLab when engineering support or recording is required.</w:t>
      </w:r>
    </w:p>
    <w:p>
      <w:pPr>
        <w:spacing w:after="100"/>
        <w:ind w:left="259" w:hanging="259"/>
      </w:pPr>
      <w:r>
        <w:rPr>
          <w:rFonts w:ascii="Arial" w:hAnsi="Arial"/>
          <w:b/>
          <w:color w:val="1F5F8B"/>
          <w:sz w:val="23"/>
        </w:rPr>
        <w:t xml:space="preserve">2. </w:t>
      </w:r>
      <w:r>
        <w:rPr>
          <w:rFonts w:ascii="Arial" w:hAnsi="Arial"/>
          <w:b/>
          <w:sz w:val="23"/>
        </w:rPr>
        <w:t>Open the Lab display.</w:t>
      </w:r>
      <w:r>
        <w:rPr>
          <w:rFonts w:ascii="Arial" w:hAnsi="Arial"/>
          <w:sz w:val="23"/>
        </w:rPr>
        <w:t xml:space="preserve"> The standard TurboFanLab launcher starts the local web console on port 8080; open the address displayed by the launcher, normally the local TurboFanLab page.</w:t>
      </w:r>
    </w:p>
    <w:p>
      <w:pPr>
        <w:spacing w:after="100"/>
        <w:ind w:left="259" w:hanging="259"/>
      </w:pPr>
      <w:r>
        <w:rPr>
          <w:rFonts w:ascii="Arial" w:hAnsi="Arial"/>
          <w:b/>
          <w:color w:val="1F5F8B"/>
          <w:sz w:val="23"/>
        </w:rPr>
        <w:t xml:space="preserve">3. </w:t>
      </w:r>
      <w:r>
        <w:rPr>
          <w:rFonts w:ascii="Arial" w:hAnsi="Arial"/>
          <w:b/>
          <w:sz w:val="23"/>
        </w:rPr>
        <w:t>Confirm the engine link.</w:t>
      </w:r>
      <w:r>
        <w:rPr>
          <w:rFonts w:ascii="Arial" w:hAnsi="Arial"/>
          <w:sz w:val="23"/>
        </w:rPr>
        <w:t xml:space="preserve"> The status dot beside the parameter panel should turn green and the status line should report TurboModel shared-memory link active. This confirms TurboFanLab is communicating with the selected engine process; it does not by itself prove that an external simulator is connected.</w:t>
      </w:r>
    </w:p>
    <w:p>
      <w:pPr>
        <w:spacing w:after="100"/>
        <w:ind w:left="259" w:hanging="259"/>
      </w:pPr>
      <w:r>
        <w:rPr>
          <w:rFonts w:ascii="Arial" w:hAnsi="Arial"/>
          <w:b/>
          <w:color w:val="1F5F8B"/>
          <w:sz w:val="23"/>
        </w:rPr>
        <w:t xml:space="preserve">4. </w:t>
      </w:r>
      <w:r>
        <w:rPr>
          <w:rFonts w:ascii="Arial" w:hAnsi="Arial"/>
          <w:b/>
          <w:sz w:val="23"/>
        </w:rPr>
        <w:t>Confirm the active parameter source.</w:t>
      </w:r>
      <w:r>
        <w:rPr>
          <w:rFonts w:ascii="Arial" w:hAnsi="Arial"/>
          <w:sz w:val="23"/>
        </w:rPr>
        <w:t xml:space="preserve"> The PARAMS window at the top of the Lab identifies the active calibration source. DEFAULT means the accepted TurboModel baseline is in use. After LOAD, the window identifies the loaded parameter file; if a live value is then changed, the display indicates that the active calibration has been edited.</w:t>
      </w:r>
    </w:p>
    <w:p>
      <w:pPr>
        <w:spacing w:after="100"/>
        <w:ind w:left="259" w:hanging="259"/>
      </w:pPr>
      <w:r>
        <w:rPr>
          <w:rFonts w:ascii="Arial" w:hAnsi="Arial"/>
          <w:b/>
          <w:color w:val="1F5F8B"/>
          <w:sz w:val="23"/>
        </w:rPr>
        <w:t xml:space="preserve">5. </w:t>
      </w:r>
      <w:r>
        <w:rPr>
          <w:rFonts w:ascii="Arial" w:hAnsi="Arial"/>
          <w:b/>
          <w:sz w:val="23"/>
        </w:rPr>
        <w:t>Choose the control source.</w:t>
      </w:r>
      <w:r>
        <w:rPr>
          <w:rFonts w:ascii="Arial" w:hAnsi="Arial"/>
          <w:sz w:val="23"/>
        </w:rPr>
        <w:t xml:space="preserve"> Select LOCAL TEST for bench/static operation. Select SIMULATOR when the external simulation is to supply aircraft controls and flight/environment data through TurboMgr, including throttle, reverse, starter/start, fuel-cutoff state, altitude, speed/Mach, temperature, and pressure.</w:t>
      </w:r>
    </w:p>
    <w:p>
      <w:pPr>
        <w:jc w:val="center"/>
      </w:pPr>
      <w:r>
        <w:drawing>
          <wp:inline xmlns:a="http://schemas.openxmlformats.org/drawingml/2006/main" xmlns:pic="http://schemas.openxmlformats.org/drawingml/2006/picture">
            <wp:extent cx="6355080" cy="3543359"/>
            <wp:docPr id="1" name="Picture 1"/>
            <wp:cNvGraphicFramePr>
              <a:graphicFrameLocks noChangeAspect="1"/>
            </wp:cNvGraphicFramePr>
            <a:graphic>
              <a:graphicData uri="http://schemas.openxmlformats.org/drawingml/2006/picture">
                <pic:pic>
                  <pic:nvPicPr>
                    <pic:cNvPr id="0" name="figure_1.png"/>
                    <pic:cNvPicPr/>
                  </pic:nvPicPr>
                  <pic:blipFill>
                    <a:blip r:embed="rId10"/>
                    <a:stretch>
                      <a:fillRect/>
                    </a:stretch>
                  </pic:blipFill>
                  <pic:spPr>
                    <a:xfrm>
                      <a:off x="0" y="0"/>
                      <a:ext cx="6355080" cy="3543359"/>
                    </a:xfrm>
                    <a:prstGeom prst="rect"/>
                  </pic:spPr>
                </pic:pic>
              </a:graphicData>
            </a:graphic>
          </wp:inline>
        </w:drawing>
      </w:r>
    </w:p>
    <w:p>
      <w:pPr>
        <w:spacing w:after="160"/>
        <w:jc w:val="center"/>
      </w:pPr>
      <w:r>
        <w:rPr>
          <w:rFonts w:ascii="Arial" w:hAnsi="Arial"/>
          <w:i/>
          <w:color w:val="52616E"/>
          <w:sz w:val="18"/>
        </w:rPr>
        <w:t>Actual TurboFanLab running screen captured during a start-to-idle test. The graphs are live, FCU and ENGINE logging are selected, the engine is at idle with the combustor burning, and the left NETWORK panel is in LOCAL TEST. The current build still uses legacy FG prefixes on two NETWORK readouts; those fields are simulator-supplied air/altitude and temperature/pressure data.</w:t>
      </w:r>
    </w:p>
    <w:p>
      <w:pPr>
        <w:pStyle w:val="Heading2"/>
        <w:keepNext/>
      </w:pPr>
      <w:r>
        <w:rPr>
          <w:rFonts w:ascii="Arial" w:hAnsi="Arial"/>
          <w:b/>
          <w:color w:val="1D587D"/>
          <w:sz w:val="28"/>
        </w:rPr>
        <w:t>3.2 Main controls</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Control</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What it does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Default</w:t>
            </w:r>
          </w:p>
        </w:tc>
        <w:tc>
          <w:tcPr>
            <w:tcW w:type="dxa" w:w="5141"/>
            <w:tcMar>
              <w:top w:w="55" w:type="dxa"/>
              <w:start w:w="65" w:type="dxa"/>
              <w:bottom w:w="55" w:type="dxa"/>
              <w:end w:w="65" w:type="dxa"/>
            </w:tcMar>
            <w:vAlign w:val="top"/>
          </w:tcPr>
          <w:p>
            <w:pPr>
              <w:spacing w:after="0"/>
            </w:pPr>
            <w:r>
              <w:rPr>
                <w:rFonts w:ascii="Arial" w:hAnsi="Arial"/>
                <w:sz w:val="19"/>
              </w:rPr>
              <w:t>Restores the exposed model parameters to the accepted TurboModel baseline.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Load / Save</w:t>
            </w:r>
          </w:p>
        </w:tc>
        <w:tc>
          <w:tcPr>
            <w:tcW w:type="dxa" w:w="5141"/>
            <w:tcMar>
              <w:top w:w="55" w:type="dxa"/>
              <w:start w:w="65" w:type="dxa"/>
              <w:bottom w:w="55" w:type="dxa"/>
              <w:end w:w="65" w:type="dxa"/>
            </w:tcMar>
            <w:vAlign w:val="top"/>
          </w:tcPr>
          <w:p>
            <w:pPr>
              <w:spacing w:after="0"/>
            </w:pPr>
            <w:r>
              <w:rPr>
                <w:rFonts w:ascii="Arial" w:hAnsi="Arial"/>
                <w:sz w:val="19"/>
              </w:rPr>
              <w:t>LOAD selects a saved calibration parameter file; SAVE writes the current adjustable calibration values to a named parameter file.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BUILD (planned)</w:t>
            </w:r>
          </w:p>
        </w:tc>
        <w:tc>
          <w:tcPr>
            <w:tcW w:type="dxa" w:w="5141"/>
            <w:tcMar>
              <w:top w:w="55" w:type="dxa"/>
              <w:start w:w="65" w:type="dxa"/>
              <w:bottom w:w="55" w:type="dxa"/>
              <w:end w:w="65" w:type="dxa"/>
            </w:tcMar>
            <w:vAlign w:val="top"/>
          </w:tcPr>
          <w:p>
            <w:pPr>
              <w:spacing w:after="0"/>
            </w:pPr>
            <w:r>
              <w:rPr>
                <w:rFonts w:ascii="Arial" w:hAnsi="Arial"/>
                <w:sz w:val="19"/>
              </w:rPr>
              <w:t>Creates a new compiled TurboModel DEFAULT baseline from the currently selected saved parameter file. BUILD requires confirmation before the rebuild begins; the internal implementation is TBD.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Start</w:t>
            </w:r>
          </w:p>
        </w:tc>
        <w:tc>
          <w:tcPr>
            <w:tcW w:type="dxa" w:w="5141"/>
            <w:tcMar>
              <w:top w:w="55" w:type="dxa"/>
              <w:start w:w="65" w:type="dxa"/>
              <w:bottom w:w="55" w:type="dxa"/>
              <w:end w:w="65" w:type="dxa"/>
            </w:tcMar>
            <w:vAlign w:val="top"/>
          </w:tcPr>
          <w:p>
            <w:pPr>
              <w:spacing w:after="0"/>
            </w:pPr>
            <w:r>
              <w:rPr>
                <w:rFonts w:ascii="Arial" w:hAnsi="Arial"/>
                <w:sz w:val="19"/>
              </w:rPr>
              <w:t>In LOCAL TEST, commands starter engagement and begins dry motoring with fuel cut off. In SIMULATOR mode, the simulator may supply the starter/start command through TurboMgr.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Fuel Cutoff</w:t>
            </w:r>
          </w:p>
        </w:tc>
        <w:tc>
          <w:tcPr>
            <w:tcW w:type="dxa" w:w="5141"/>
            <w:tcMar>
              <w:top w:w="55" w:type="dxa"/>
              <w:start w:w="65" w:type="dxa"/>
              <w:bottom w:w="55" w:type="dxa"/>
              <w:end w:w="65" w:type="dxa"/>
            </w:tcMar>
            <w:vAlign w:val="top"/>
          </w:tcPr>
          <w:p>
            <w:pPr>
              <w:spacing w:after="0"/>
            </w:pPr>
            <w:r>
              <w:rPr>
                <w:rFonts w:ascii="Arial" w:hAnsi="Arial"/>
                <w:sz w:val="19"/>
              </w:rPr>
              <w:t>In LOCAL TEST, toggles CUTOFF / OPEN. In SIMULATOR mode, the simulator may supply the fuel-cutoff/run command through TurboMgr.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Reset Engine</w:t>
            </w:r>
          </w:p>
        </w:tc>
        <w:tc>
          <w:tcPr>
            <w:tcW w:type="dxa" w:w="5141"/>
            <w:tcMar>
              <w:top w:w="55" w:type="dxa"/>
              <w:start w:w="65" w:type="dxa"/>
              <w:bottom w:w="55" w:type="dxa"/>
              <w:end w:w="65" w:type="dxa"/>
            </w:tcMar>
            <w:vAlign w:val="top"/>
          </w:tcPr>
          <w:p>
            <w:pPr>
              <w:spacing w:after="0"/>
            </w:pPr>
            <w:r>
              <w:rPr>
                <w:rFonts w:ascii="Arial" w:hAnsi="Arial"/>
                <w:sz w:val="19"/>
              </w:rPr>
              <w:t>Returns the selected development engine to the reset condition for a new bench/static test.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Pause / Resume Physics</w:t>
            </w:r>
          </w:p>
        </w:tc>
        <w:tc>
          <w:tcPr>
            <w:tcW w:type="dxa" w:w="5141"/>
            <w:tcMar>
              <w:top w:w="55" w:type="dxa"/>
              <w:start w:w="65" w:type="dxa"/>
              <w:bottom w:w="55" w:type="dxa"/>
              <w:end w:w="65" w:type="dxa"/>
            </w:tcMar>
            <w:vAlign w:val="top"/>
          </w:tcPr>
          <w:p>
            <w:pPr>
              <w:spacing w:after="0"/>
            </w:pPr>
            <w:r>
              <w:rPr>
                <w:rFonts w:ascii="Arial" w:hAnsi="Arial"/>
                <w:sz w:val="19"/>
              </w:rPr>
              <w:t>Freezes or resumes the engine calculation and live graphs during engineering work.</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F8 RECORD</w:t>
            </w:r>
          </w:p>
        </w:tc>
        <w:tc>
          <w:tcPr>
            <w:tcW w:type="dxa" w:w="5141"/>
            <w:tcMar>
              <w:top w:w="55" w:type="dxa"/>
              <w:start w:w="65" w:type="dxa"/>
              <w:bottom w:w="55" w:type="dxa"/>
              <w:end w:w="65" w:type="dxa"/>
            </w:tcMar>
            <w:vAlign w:val="top"/>
          </w:tcPr>
          <w:p>
            <w:pPr>
              <w:spacing w:after="0"/>
            </w:pPr>
            <w:r>
              <w:rPr>
                <w:rFonts w:ascii="Arial" w:hAnsi="Arial"/>
                <w:sz w:val="19"/>
              </w:rPr>
              <w:t>Starts/stops the matched timestamped test capture. One CSV is created for each selected DATA LOG group; the capture package can also include the synchronized visual recording.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TEST</w:t>
            </w:r>
          </w:p>
        </w:tc>
        <w:tc>
          <w:tcPr>
            <w:tcW w:type="dxa" w:w="5141"/>
            <w:tcMar>
              <w:top w:w="55" w:type="dxa"/>
              <w:start w:w="65" w:type="dxa"/>
              <w:bottom w:w="55" w:type="dxa"/>
              <w:end w:w="65" w:type="dxa"/>
            </w:tcMar>
            <w:vAlign w:val="top"/>
          </w:tcPr>
          <w:p>
            <w:pPr>
              <w:spacing w:after="0"/>
            </w:pPr>
            <w:r>
              <w:rPr>
                <w:rFonts w:ascii="Arial" w:hAnsi="Arial"/>
                <w:sz w:val="19"/>
              </w:rPr>
              <w:t>Names the run. The selected Test Guide preset can write its test name into this field.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PARAMS</w:t>
            </w:r>
          </w:p>
        </w:tc>
        <w:tc>
          <w:tcPr>
            <w:tcW w:type="dxa" w:w="5141"/>
            <w:tcMar>
              <w:top w:w="55" w:type="dxa"/>
              <w:start w:w="65" w:type="dxa"/>
              <w:bottom w:w="55" w:type="dxa"/>
              <w:end w:w="65" w:type="dxa"/>
            </w:tcMar>
            <w:vAlign w:val="top"/>
          </w:tcPr>
          <w:p>
            <w:pPr>
              <w:spacing w:after="0"/>
            </w:pPr>
            <w:r>
              <w:rPr>
                <w:rFonts w:ascii="Arial" w:hAnsi="Arial"/>
                <w:sz w:val="19"/>
              </w:rPr>
              <w:t>Shows DEFAULT, the loaded parameter file, or an edited state so the calibration used for the run can be identified.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Test Guide</w:t>
            </w:r>
          </w:p>
        </w:tc>
        <w:tc>
          <w:tcPr>
            <w:tcW w:type="dxa" w:w="5141"/>
            <w:tcMar>
              <w:top w:w="55" w:type="dxa"/>
              <w:start w:w="65" w:type="dxa"/>
              <w:bottom w:w="55" w:type="dxa"/>
              <w:end w:w="65" w:type="dxa"/>
            </w:tcMar>
            <w:vAlign w:val="top"/>
          </w:tcPr>
          <w:p>
            <w:pPr>
              <w:spacing w:after="0"/>
            </w:pPr>
            <w:r>
              <w:rPr>
                <w:rFonts w:ascii="Arial" w:hAnsi="Arial"/>
                <w:sz w:val="19"/>
              </w:rPr>
              <w:t>Opens the built-in FCU timing/test guide. It displays the setup, sequence/timing, and watch items for the selected test; Use This Test copies the preset name into TEST but does not execute the test automatically.</w:t>
            </w:r>
          </w:p>
        </w:tc>
      </w:tr>
    </w:tbl>
    <w:p>
      <w:pPr>
        <w:spacing w:after="20"/>
      </w:pPr>
    </w:p>
    <w:p>
      <w:pPr>
        <w:pStyle w:val="Heading2"/>
        <w:keepNext/>
      </w:pPr>
      <w:r>
        <w:rPr>
          <w:rFonts w:ascii="Arial" w:hAnsi="Arial"/>
          <w:b/>
          <w:color w:val="1D587D"/>
          <w:sz w:val="28"/>
        </w:rPr>
        <w:t>3.3 Test Conditions and Inlet Values</w:t>
      </w:r>
    </w:p>
    <w:p>
      <w:pPr>
        <w:spacing w:before="0" w:after="120" w:line="259" w:lineRule="auto"/>
      </w:pPr>
      <w:r>
        <w:rPr>
          <w:rFonts w:ascii="Arial" w:hAnsi="Arial"/>
          <w:b/>
          <w:sz w:val="24"/>
        </w:rPr>
        <w:t xml:space="preserve">Test Conditions. </w:t>
      </w:r>
      <w:r>
        <w:rPr>
          <w:rFonts w:ascii="Arial" w:hAnsi="Arial"/>
          <w:sz w:val="24"/>
        </w:rPr>
        <w:t>In LOCAL TEST these controls establish the external boundary conditions used by the engine model. In SIMULATOR mode the corresponding flight/environment values are supplied by the simulator through TurboMgr and the Lab becomes primarily an observation/engineering display for those conditions.</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Readout</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Altitude (ISA set)</w:t>
            </w:r>
          </w:p>
        </w:tc>
        <w:tc>
          <w:tcPr>
            <w:tcW w:type="dxa" w:w="5141"/>
            <w:tcMar>
              <w:top w:w="55" w:type="dxa"/>
              <w:start w:w="65" w:type="dxa"/>
              <w:bottom w:w="55" w:type="dxa"/>
              <w:end w:w="65" w:type="dxa"/>
            </w:tcMar>
            <w:vAlign w:val="top"/>
          </w:tcPr>
          <w:p>
            <w:pPr>
              <w:spacing w:after="0"/>
            </w:pPr>
            <w:r>
              <w:rPr>
                <w:rFonts w:ascii="Arial" w:hAnsi="Arial"/>
                <w:sz w:val="19"/>
              </w:rPr>
              <w:t>Geometric/test altitude in feet. In the current Lab test controls it is constrained to the supported test envelope; simulator-coupled operation receives altitude from the host.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Airspeed</w:t>
            </w:r>
          </w:p>
        </w:tc>
        <w:tc>
          <w:tcPr>
            <w:tcW w:type="dxa" w:w="5141"/>
            <w:tcMar>
              <w:top w:w="55" w:type="dxa"/>
              <w:start w:w="65" w:type="dxa"/>
              <w:bottom w:w="55" w:type="dxa"/>
              <w:end w:w="65" w:type="dxa"/>
            </w:tcMar>
            <w:vAlign w:val="top"/>
          </w:tcPr>
          <w:p>
            <w:pPr>
              <w:spacing w:after="0"/>
            </w:pPr>
            <w:r>
              <w:rPr>
                <w:rFonts w:ascii="Arial" w:hAnsi="Arial"/>
                <w:sz w:val="19"/>
              </w:rPr>
              <w:t>True airspeed command/display in knots used with atmospheric conditions to establish the inlet flight state.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Ambient temp</w:t>
            </w:r>
          </w:p>
        </w:tc>
        <w:tc>
          <w:tcPr>
            <w:tcW w:type="dxa" w:w="5141"/>
            <w:tcMar>
              <w:top w:w="55" w:type="dxa"/>
              <w:start w:w="65" w:type="dxa"/>
              <w:bottom w:w="55" w:type="dxa"/>
              <w:end w:w="65" w:type="dxa"/>
            </w:tcMar>
            <w:vAlign w:val="top"/>
          </w:tcPr>
          <w:p>
            <w:pPr>
              <w:spacing w:after="0"/>
            </w:pPr>
            <w:r>
              <w:rPr>
                <w:rFonts w:ascii="Arial" w:hAnsi="Arial"/>
                <w:sz w:val="19"/>
              </w:rPr>
              <w:t>Static ambient temperature in °F at the commanded/test condition.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Ambient pressure</w:t>
            </w:r>
          </w:p>
        </w:tc>
        <w:tc>
          <w:tcPr>
            <w:tcW w:type="dxa" w:w="5141"/>
            <w:tcMar>
              <w:top w:w="55" w:type="dxa"/>
              <w:start w:w="65" w:type="dxa"/>
              <w:bottom w:w="55" w:type="dxa"/>
              <w:end w:w="65" w:type="dxa"/>
            </w:tcMar>
            <w:vAlign w:val="top"/>
          </w:tcPr>
          <w:p>
            <w:pPr>
              <w:spacing w:after="0"/>
            </w:pPr>
            <w:r>
              <w:rPr>
                <w:rFonts w:ascii="Arial" w:hAnsi="Arial"/>
                <w:sz w:val="19"/>
              </w:rPr>
              <w:t>Static ambient pressure in inHg at the commanded/test condition.</w:t>
            </w:r>
          </w:p>
        </w:tc>
      </w:tr>
    </w:tbl>
    <w:p>
      <w:pPr>
        <w:spacing w:after="20"/>
      </w:pPr>
    </w:p>
    <w:p>
      <w:pPr>
        <w:pStyle w:val="Heading3"/>
        <w:keepNext/>
      </w:pPr>
      <w:r>
        <w:rPr>
          <w:rFonts w:ascii="Arial" w:hAnsi="Arial"/>
          <w:b/>
          <w:color w:val="294B63"/>
          <w:sz w:val="24"/>
        </w:rPr>
        <w:t>Inlet Values — derived engine-entry and compressor quantities</w:t>
      </w:r>
    </w:p>
    <w:p>
      <w:pPr>
        <w:spacing w:before="0" w:after="120" w:line="259" w:lineRule="auto"/>
      </w:pPr>
      <w:r>
        <w:rPr>
          <w:rFonts w:ascii="Arial" w:hAnsi="Arial"/>
          <w:sz w:val="24"/>
        </w:rPr>
        <w:t>The Inlet Values panel is read-only. It shows the conditions TurboModel is actually using after the atmospheric/flight inputs have been converted to inlet total conditions and corrected quantities. These values are especially useful when comparing the same engine calibration at different altitude, temperature, pressure, or airspeed conditions.</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Readout</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Mach</w:t>
            </w:r>
          </w:p>
        </w:tc>
        <w:tc>
          <w:tcPr>
            <w:tcW w:type="dxa" w:w="5141"/>
            <w:tcMar>
              <w:top w:w="55" w:type="dxa"/>
              <w:start w:w="65" w:type="dxa"/>
              <w:bottom w:w="55" w:type="dxa"/>
              <w:end w:w="65" w:type="dxa"/>
            </w:tcMar>
            <w:vAlign w:val="top"/>
          </w:tcPr>
          <w:p>
            <w:pPr>
              <w:spacing w:after="0"/>
            </w:pPr>
            <w:r>
              <w:rPr>
                <w:rFonts w:ascii="Arial" w:hAnsi="Arial"/>
                <w:sz w:val="19"/>
              </w:rPr>
              <w:t>Calculated flight Mach number for the current operating condition.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Density alt</w:t>
            </w:r>
          </w:p>
        </w:tc>
        <w:tc>
          <w:tcPr>
            <w:tcW w:type="dxa" w:w="5141"/>
            <w:tcMar>
              <w:top w:w="55" w:type="dxa"/>
              <w:start w:w="65" w:type="dxa"/>
              <w:bottom w:w="55" w:type="dxa"/>
              <w:end w:w="65" w:type="dxa"/>
            </w:tcMar>
            <w:vAlign w:val="top"/>
          </w:tcPr>
          <w:p>
            <w:pPr>
              <w:spacing w:after="0"/>
            </w:pPr>
            <w:r>
              <w:rPr>
                <w:rFonts w:ascii="Arial" w:hAnsi="Arial"/>
                <w:sz w:val="19"/>
              </w:rPr>
              <w:t>Atmospheric density expressed as an equivalent standard-atmosphere altitude. It can be negative on a cold/high-pressure day even though commanded geometric altitude is not below sea level.</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Tt2</w:t>
            </w:r>
          </w:p>
        </w:tc>
        <w:tc>
          <w:tcPr>
            <w:tcW w:type="dxa" w:w="5141"/>
            <w:tcMar>
              <w:top w:w="55" w:type="dxa"/>
              <w:start w:w="65" w:type="dxa"/>
              <w:bottom w:w="55" w:type="dxa"/>
              <w:end w:w="65" w:type="dxa"/>
            </w:tcMar>
            <w:vAlign w:val="top"/>
          </w:tcPr>
          <w:p>
            <w:pPr>
              <w:spacing w:after="0"/>
            </w:pPr>
            <w:r>
              <w:rPr>
                <w:rFonts w:ascii="Arial" w:hAnsi="Arial"/>
                <w:sz w:val="19"/>
              </w:rPr>
              <w:t>Total temperature at the engine inlet/fan face after the flight-condition ram-temperature effect is applied.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Pt2</w:t>
            </w:r>
          </w:p>
        </w:tc>
        <w:tc>
          <w:tcPr>
            <w:tcW w:type="dxa" w:w="5141"/>
            <w:tcMar>
              <w:top w:w="55" w:type="dxa"/>
              <w:start w:w="65" w:type="dxa"/>
              <w:bottom w:w="55" w:type="dxa"/>
              <w:end w:w="65" w:type="dxa"/>
            </w:tcMar>
            <w:vAlign w:val="top"/>
          </w:tcPr>
          <w:p>
            <w:pPr>
              <w:spacing w:after="0"/>
            </w:pPr>
            <w:r>
              <w:rPr>
                <w:rFonts w:ascii="Arial" w:hAnsi="Arial"/>
                <w:sz w:val="19"/>
              </w:rPr>
              <w:t>Total pressure at the engine inlet/fan face after flight-condition ram pressure and inlet pressure recovery/losses are applied.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N1c</w:t>
            </w:r>
          </w:p>
        </w:tc>
        <w:tc>
          <w:tcPr>
            <w:tcW w:type="dxa" w:w="5141"/>
            <w:tcMar>
              <w:top w:w="55" w:type="dxa"/>
              <w:start w:w="65" w:type="dxa"/>
              <w:bottom w:w="55" w:type="dxa"/>
              <w:end w:w="65" w:type="dxa"/>
            </w:tcMar>
            <w:vAlign w:val="top"/>
          </w:tcPr>
          <w:p>
            <w:pPr>
              <w:spacing w:after="0"/>
            </w:pPr>
            <w:r>
              <w:rPr>
                <w:rFonts w:ascii="Arial" w:hAnsi="Arial"/>
                <w:sz w:val="19"/>
              </w:rPr>
              <w:t>Low-spool speed corrected to the inlet reference condition for component-map use and comparison.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N2c</w:t>
            </w:r>
          </w:p>
        </w:tc>
        <w:tc>
          <w:tcPr>
            <w:tcW w:type="dxa" w:w="5141"/>
            <w:tcMar>
              <w:top w:w="55" w:type="dxa"/>
              <w:start w:w="65" w:type="dxa"/>
              <w:bottom w:w="55" w:type="dxa"/>
              <w:end w:w="65" w:type="dxa"/>
            </w:tcMar>
            <w:vAlign w:val="top"/>
          </w:tcPr>
          <w:p>
            <w:pPr>
              <w:spacing w:after="0"/>
            </w:pPr>
            <w:r>
              <w:rPr>
                <w:rFonts w:ascii="Arial" w:hAnsi="Arial"/>
                <w:sz w:val="19"/>
              </w:rPr>
              <w:t>High-spool speed corrected to the inlet reference condition for component-map use and comparison.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Wc inlet</w:t>
            </w:r>
          </w:p>
        </w:tc>
        <w:tc>
          <w:tcPr>
            <w:tcW w:type="dxa" w:w="5141"/>
            <w:tcMar>
              <w:top w:w="55" w:type="dxa"/>
              <w:start w:w="65" w:type="dxa"/>
              <w:bottom w:w="55" w:type="dxa"/>
              <w:end w:w="65" w:type="dxa"/>
            </w:tcMar>
            <w:vAlign w:val="top"/>
          </w:tcPr>
          <w:p>
            <w:pPr>
              <w:spacing w:after="0"/>
            </w:pPr>
            <w:r>
              <w:rPr>
                <w:rFonts w:ascii="Arial" w:hAnsi="Arial"/>
                <w:sz w:val="19"/>
              </w:rPr>
              <w:t>Corrected total inlet airflow in lb/s.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Wc core</w:t>
            </w:r>
          </w:p>
        </w:tc>
        <w:tc>
          <w:tcPr>
            <w:tcW w:type="dxa" w:w="5141"/>
            <w:tcMar>
              <w:top w:w="55" w:type="dxa"/>
              <w:start w:w="65" w:type="dxa"/>
              <w:bottom w:w="55" w:type="dxa"/>
              <w:end w:w="65" w:type="dxa"/>
            </w:tcMar>
            <w:vAlign w:val="top"/>
          </w:tcPr>
          <w:p>
            <w:pPr>
              <w:spacing w:after="0"/>
            </w:pPr>
            <w:r>
              <w:rPr>
                <w:rFonts w:ascii="Arial" w:hAnsi="Arial"/>
                <w:sz w:val="19"/>
              </w:rPr>
              <w:t>Corrected core airflow in lb/s used with the core/compressor map solution.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 core</w:t>
            </w:r>
          </w:p>
        </w:tc>
        <w:tc>
          <w:tcPr>
            <w:tcW w:type="dxa" w:w="5141"/>
            <w:tcMar>
              <w:top w:w="55" w:type="dxa"/>
              <w:start w:w="65" w:type="dxa"/>
              <w:bottom w:w="55" w:type="dxa"/>
              <w:end w:w="65" w:type="dxa"/>
            </w:tcMar>
            <w:vAlign w:val="top"/>
          </w:tcPr>
          <w:p>
            <w:pPr>
              <w:spacing w:after="0"/>
            </w:pPr>
            <w:r>
              <w:rPr>
                <w:rFonts w:ascii="Arial" w:hAnsi="Arial"/>
                <w:sz w:val="19"/>
              </w:rPr>
              <w:t>Actual current core mass flow in lb/s.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HPC PR</w:t>
            </w:r>
          </w:p>
        </w:tc>
        <w:tc>
          <w:tcPr>
            <w:tcW w:type="dxa" w:w="5141"/>
            <w:tcMar>
              <w:top w:w="55" w:type="dxa"/>
              <w:start w:w="65" w:type="dxa"/>
              <w:bottom w:w="55" w:type="dxa"/>
              <w:end w:w="65" w:type="dxa"/>
            </w:tcMar>
            <w:vAlign w:val="top"/>
          </w:tcPr>
          <w:p>
            <w:pPr>
              <w:spacing w:after="0"/>
            </w:pPr>
            <w:r>
              <w:rPr>
                <w:rFonts w:ascii="Arial" w:hAnsi="Arial"/>
                <w:sz w:val="19"/>
              </w:rPr>
              <w:t>Current high-pressure-compressor total pressure ratio at its solved map operating point.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HPC η</w:t>
            </w:r>
          </w:p>
        </w:tc>
        <w:tc>
          <w:tcPr>
            <w:tcW w:type="dxa" w:w="5141"/>
            <w:tcMar>
              <w:top w:w="55" w:type="dxa"/>
              <w:start w:w="65" w:type="dxa"/>
              <w:bottom w:w="55" w:type="dxa"/>
              <w:end w:w="65" w:type="dxa"/>
            </w:tcMar>
            <w:vAlign w:val="top"/>
          </w:tcPr>
          <w:p>
            <w:pPr>
              <w:spacing w:after="0"/>
            </w:pPr>
            <w:r>
              <w:rPr>
                <w:rFonts w:ascii="Arial" w:hAnsi="Arial"/>
                <w:sz w:val="19"/>
              </w:rPr>
              <w:t>Current HPC efficiency at the solved operating point.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HPC work</w:t>
            </w:r>
          </w:p>
        </w:tc>
        <w:tc>
          <w:tcPr>
            <w:tcW w:type="dxa" w:w="5141"/>
            <w:tcMar>
              <w:top w:w="55" w:type="dxa"/>
              <w:start w:w="65" w:type="dxa"/>
              <w:bottom w:w="55" w:type="dxa"/>
              <w:end w:w="65" w:type="dxa"/>
            </w:tcMar>
            <w:vAlign w:val="top"/>
          </w:tcPr>
          <w:p>
            <w:pPr>
              <w:spacing w:after="0"/>
            </w:pPr>
            <w:r>
              <w:rPr>
                <w:rFonts w:ascii="Arial" w:hAnsi="Arial"/>
                <w:sz w:val="19"/>
              </w:rPr>
              <w:t>Current shaft power absorbed by the HPC, shown in kW; it is part of the HP-spool work balance against HPT output and other loads.</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Why these numbers matter. </w:t>
            </w:r>
            <w:r>
              <w:rPr>
                <w:rFonts w:ascii="Arial" w:hAnsi="Arial"/>
                <w:sz w:val="23"/>
              </w:rPr>
              <w:t>N1c, N2c, corrected flows, HPC pressure ratio, efficiency, and work make it possible to determine whether a change in engine response comes from the atmospheric boundary condition, the component-map operating point, or the control system rather than from the raw N1/N2 indications alone.</w:t>
            </w:r>
          </w:p>
        </w:tc>
      </w:tr>
    </w:tbl>
    <w:p>
      <w:pPr>
        <w:spacing w:after="40"/>
      </w:pPr>
    </w:p>
    <w:p>
      <w:pPr>
        <w:pStyle w:val="Heading2"/>
        <w:keepNext/>
      </w:pPr>
      <w:r>
        <w:rPr>
          <w:rFonts w:ascii="Arial" w:hAnsi="Arial"/>
          <w:b/>
          <w:color w:val="1D587D"/>
          <w:sz w:val="28"/>
        </w:rPr>
        <w:t>3.4 Starting an engine</w:t>
      </w:r>
    </w:p>
    <w:p>
      <w:pPr>
        <w:spacing w:before="0" w:after="120" w:line="259" w:lineRule="auto"/>
      </w:pPr>
      <w:r>
        <w:rPr>
          <w:rFonts w:ascii="Arial" w:hAnsi="Arial"/>
          <w:sz w:val="24"/>
        </w:rPr>
        <w:t>In LOCAL TEST the Lab start controls act on the engine channel currently assigned to TurboFanLab. In SIMULATOR mode, starter and fuel-cutoff commands can come from the simulator through TurboMgr along with throttle, reverse, and environment data. The NETWORK panel identifies the active engine/channel and the source traffic.</w:t>
      </w:r>
    </w:p>
    <w:p>
      <w:pPr>
        <w:spacing w:after="100"/>
        <w:ind w:left="259" w:hanging="259"/>
      </w:pPr>
      <w:r>
        <w:rPr>
          <w:rFonts w:ascii="Arial" w:hAnsi="Arial"/>
          <w:b/>
          <w:color w:val="1F5F8B"/>
          <w:sz w:val="23"/>
        </w:rPr>
        <w:t xml:space="preserve">1. </w:t>
      </w:r>
      <w:r>
        <w:rPr>
          <w:rFonts w:ascii="Arial" w:hAnsi="Arial"/>
          <w:b/>
          <w:sz w:val="23"/>
        </w:rPr>
        <w:t>Set FUEL CUTOFF to CUTOFF</w:t>
      </w:r>
      <w:r>
        <w:rPr>
          <w:rFonts w:ascii="Arial" w:hAnsi="Arial"/>
          <w:sz w:val="23"/>
        </w:rPr>
        <w:t xml:space="preserve"> and, if necessary, press </w:t>
      </w:r>
      <w:r>
        <w:rPr>
          <w:rFonts w:ascii="Arial" w:hAnsi="Arial"/>
          <w:b/>
          <w:sz w:val="23"/>
        </w:rPr>
        <w:t>Reset Engine</w:t>
      </w:r>
      <w:r>
        <w:rPr>
          <w:rFonts w:ascii="Arial" w:hAnsi="Arial"/>
          <w:sz w:val="23"/>
        </w:rPr>
        <w:t xml:space="preserve"> before beginning a new start test.</w:t>
      </w:r>
    </w:p>
    <w:p>
      <w:pPr>
        <w:spacing w:after="100"/>
        <w:ind w:left="259" w:hanging="259"/>
      </w:pPr>
      <w:r>
        <w:rPr>
          <w:rFonts w:ascii="Arial" w:hAnsi="Arial"/>
          <w:b/>
          <w:color w:val="1F5F8B"/>
          <w:sz w:val="23"/>
        </w:rPr>
        <w:t xml:space="preserve">2. </w:t>
      </w:r>
      <w:r>
        <w:rPr>
          <w:rFonts w:ascii="Arial" w:hAnsi="Arial"/>
          <w:b/>
          <w:sz w:val="23"/>
        </w:rPr>
        <w:t>Press Start.</w:t>
      </w:r>
      <w:r>
        <w:rPr>
          <w:rFonts w:ascii="Arial" w:hAnsi="Arial"/>
          <w:sz w:val="23"/>
        </w:rPr>
        <w:t xml:space="preserve"> The starter flag changes to STARTER ENGAGED and N2 begins to rise through the normal rotor-inertia calculation.</w:t>
      </w:r>
    </w:p>
    <w:p>
      <w:pPr>
        <w:spacing w:after="100"/>
        <w:ind w:left="259" w:hanging="259"/>
      </w:pPr>
      <w:r>
        <w:rPr>
          <w:rFonts w:ascii="Arial" w:hAnsi="Arial"/>
          <w:b/>
          <w:color w:val="1F5F8B"/>
          <w:sz w:val="23"/>
        </w:rPr>
        <w:t xml:space="preserve">3. </w:t>
      </w:r>
      <w:r>
        <w:rPr>
          <w:rFonts w:ascii="Arial" w:hAnsi="Arial"/>
          <w:b/>
          <w:sz w:val="23"/>
        </w:rPr>
        <w:t>At the configured lightoff N2, press FUEL CUTOFF once to OPEN.</w:t>
      </w:r>
      <w:r>
        <w:rPr>
          <w:rFonts w:ascii="Arial" w:hAnsi="Arial"/>
          <w:sz w:val="23"/>
        </w:rPr>
        <w:t xml:space="preserve"> With the current baseline values this occurs near 22% N2; if a different parameter file is loaded, use the active lightoff setting.</w:t>
      </w:r>
    </w:p>
    <w:p>
      <w:pPr>
        <w:spacing w:after="100"/>
        <w:ind w:left="259" w:hanging="259"/>
      </w:pPr>
      <w:r>
        <w:rPr>
          <w:rFonts w:ascii="Arial" w:hAnsi="Arial"/>
          <w:b/>
          <w:color w:val="1F5F8B"/>
          <w:sz w:val="23"/>
        </w:rPr>
        <w:t xml:space="preserve">4. </w:t>
      </w:r>
      <w:r>
        <w:rPr>
          <w:rFonts w:ascii="Arial" w:hAnsi="Arial"/>
          <w:b/>
          <w:sz w:val="23"/>
        </w:rPr>
        <w:t>Verify lightoff.</w:t>
      </w:r>
      <w:r>
        <w:rPr>
          <w:rFonts w:ascii="Arial" w:hAnsi="Arial"/>
          <w:sz w:val="23"/>
        </w:rPr>
        <w:t xml:space="preserve"> COMBUSTOR BURNING should appear, EGT and fuel flow should rise, and N2 should continue accelerating toward idle.</w:t>
      </w:r>
    </w:p>
    <w:p>
      <w:pPr>
        <w:spacing w:after="100"/>
        <w:ind w:left="259" w:hanging="259"/>
      </w:pPr>
      <w:r>
        <w:rPr>
          <w:rFonts w:ascii="Arial" w:hAnsi="Arial"/>
          <w:b/>
          <w:color w:val="1F5F8B"/>
          <w:sz w:val="23"/>
        </w:rPr>
        <w:t xml:space="preserve">5. </w:t>
      </w:r>
      <w:r>
        <w:rPr>
          <w:rFonts w:ascii="Arial" w:hAnsi="Arial"/>
          <w:b/>
          <w:sz w:val="23"/>
        </w:rPr>
        <w:t>Verify starter cutout and idle stabilization.</w:t>
      </w:r>
      <w:r>
        <w:rPr>
          <w:rFonts w:ascii="Arial" w:hAnsi="Arial"/>
          <w:sz w:val="23"/>
        </w:rPr>
        <w:t xml:space="preserve"> The starter disengages at the configured cutout point (55% N2 in the baseline shown here), after which the engine should continue under turbine power and settle near the current idle target.</w:t>
      </w:r>
    </w:p>
    <w:p>
      <w:pPr>
        <w:spacing w:after="100"/>
        <w:ind w:left="259" w:hanging="259"/>
      </w:pPr>
      <w:r>
        <w:rPr>
          <w:rFonts w:ascii="Arial" w:hAnsi="Arial"/>
          <w:b/>
          <w:color w:val="1F5F8B"/>
          <w:sz w:val="23"/>
        </w:rPr>
        <w:t xml:space="preserve">6. </w:t>
      </w:r>
      <w:r>
        <w:rPr>
          <w:rFonts w:ascii="Arial" w:hAnsi="Arial"/>
          <w:b/>
          <w:sz w:val="23"/>
        </w:rPr>
        <w:t>For shutdown, return FUEL CUTOFF to CUTOFF.</w:t>
      </w:r>
      <w:r>
        <w:rPr>
          <w:rFonts w:ascii="Arial" w:hAnsi="Arial"/>
          <w:sz w:val="23"/>
        </w:rPr>
        <w:t xml:space="preserve"> Use Reset Engine only when a reset condition is required for the next test.</w:t>
      </w:r>
    </w:p>
    <w:p>
      <w:pPr>
        <w:pStyle w:val="Heading2"/>
        <w:keepNext/>
      </w:pPr>
      <w:r>
        <w:rPr>
          <w:rFonts w:ascii="Arial" w:hAnsi="Arial"/>
          <w:b/>
          <w:color w:val="1D587D"/>
          <w:sz w:val="28"/>
        </w:rPr>
        <w:t>3.5 Test Guide</w:t>
      </w:r>
    </w:p>
    <w:p>
      <w:pPr>
        <w:spacing w:before="0" w:after="120" w:line="259" w:lineRule="auto"/>
      </w:pPr>
      <w:r>
        <w:rPr>
          <w:rFonts w:ascii="Arial" w:hAnsi="Arial"/>
          <w:sz w:val="24"/>
        </w:rPr>
        <w:t>The Test Guide button opens the built-in FCU Timing Test Guide. It is a procedure reference, not an automatic test sequencer. The operator remains in control of the engine and of F8 recording.</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Readout</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Test selector</w:t>
            </w:r>
          </w:p>
        </w:tc>
        <w:tc>
          <w:tcPr>
            <w:tcW w:type="dxa" w:w="5141"/>
            <w:tcMar>
              <w:top w:w="55" w:type="dxa"/>
              <w:start w:w="65" w:type="dxa"/>
              <w:bottom w:w="55" w:type="dxa"/>
              <w:end w:w="65" w:type="dxa"/>
            </w:tcMar>
            <w:vAlign w:val="top"/>
          </w:tcPr>
          <w:p>
            <w:pPr>
              <w:spacing w:after="0"/>
            </w:pPr>
            <w:r>
              <w:rPr>
                <w:rFonts w:ascii="Arial" w:hAnsi="Arial"/>
                <w:sz w:val="19"/>
              </w:rPr>
              <w:t>Selects one of the current predefined tests (T01 through T11 in this build), such as Start to Idle, Idle Stability, acceleration/deceleration checks, map tests, reverse geometry, or the FCU diagnostic sequence.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Setup</w:t>
            </w:r>
          </w:p>
        </w:tc>
        <w:tc>
          <w:tcPr>
            <w:tcW w:type="dxa" w:w="5141"/>
            <w:tcMar>
              <w:top w:w="55" w:type="dxa"/>
              <w:start w:w="65" w:type="dxa"/>
              <w:bottom w:w="55" w:type="dxa"/>
              <w:end w:w="65" w:type="dxa"/>
            </w:tcMar>
            <w:vAlign w:val="top"/>
          </w:tcPr>
          <w:p>
            <w:pPr>
              <w:spacing w:after="0"/>
            </w:pPr>
            <w:r>
              <w:rPr>
                <w:rFonts w:ascii="Arial" w:hAnsi="Arial"/>
                <w:sz w:val="19"/>
              </w:rPr>
              <w:t>Shows the required initial engine state, ambient/test conditions, and any parameter/logging constraints.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Sequence / timing</w:t>
            </w:r>
          </w:p>
        </w:tc>
        <w:tc>
          <w:tcPr>
            <w:tcW w:type="dxa" w:w="5141"/>
            <w:tcMar>
              <w:top w:w="55" w:type="dxa"/>
              <w:start w:w="65" w:type="dxa"/>
              <w:bottom w:w="55" w:type="dxa"/>
              <w:end w:w="65" w:type="dxa"/>
            </w:tcMar>
            <w:vAlign w:val="top"/>
          </w:tcPr>
          <w:p>
            <w:pPr>
              <w:spacing w:after="0"/>
            </w:pPr>
            <w:r>
              <w:rPr>
                <w:rFonts w:ascii="Arial" w:hAnsi="Arial"/>
                <w:sz w:val="19"/>
              </w:rPr>
              <w:t>Shows the control sequence, stabilization periods, and when to start/stop F8 recording.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Watch</w:t>
            </w:r>
          </w:p>
        </w:tc>
        <w:tc>
          <w:tcPr>
            <w:tcW w:type="dxa" w:w="5141"/>
            <w:tcMar>
              <w:top w:w="55" w:type="dxa"/>
              <w:start w:w="65" w:type="dxa"/>
              <w:bottom w:w="55" w:type="dxa"/>
              <w:end w:w="65" w:type="dxa"/>
            </w:tcMar>
            <w:vAlign w:val="top"/>
          </w:tcPr>
          <w:p>
            <w:pPr>
              <w:spacing w:after="0"/>
            </w:pPr>
            <w:r>
              <w:rPr>
                <w:rFonts w:ascii="Arial" w:hAnsi="Arial"/>
                <w:sz w:val="19"/>
              </w:rPr>
              <w:t>Lists the engine variables, transients, peaks, delays, limiter behavior, or other effects that should be examined in the recorded data.</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Use This Test</w:t>
            </w:r>
          </w:p>
        </w:tc>
        <w:tc>
          <w:tcPr>
            <w:tcW w:type="dxa" w:w="5141"/>
            <w:tcMar>
              <w:top w:w="55" w:type="dxa"/>
              <w:start w:w="65" w:type="dxa"/>
              <w:bottom w:w="55" w:type="dxa"/>
              <w:end w:w="65" w:type="dxa"/>
            </w:tcMar>
            <w:vAlign w:val="top"/>
          </w:tcPr>
          <w:p>
            <w:pPr>
              <w:spacing w:after="0"/>
            </w:pPr>
            <w:r>
              <w:rPr>
                <w:rFonts w:ascii="Arial" w:hAnsi="Arial"/>
                <w:sz w:val="19"/>
              </w:rPr>
              <w:t>Copies the selected preset name into the TEST field and synchronizes that name for the recording package. It does not move the throttle, start the engine, change fuel cutoff, or start F8 recording.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Close</w:t>
            </w:r>
          </w:p>
        </w:tc>
        <w:tc>
          <w:tcPr>
            <w:tcW w:type="dxa" w:w="5141"/>
            <w:tcMar>
              <w:top w:w="55" w:type="dxa"/>
              <w:start w:w="65" w:type="dxa"/>
              <w:bottom w:w="55" w:type="dxa"/>
              <w:end w:w="65" w:type="dxa"/>
            </w:tcMar>
            <w:vAlign w:val="top"/>
          </w:tcPr>
          <w:p>
            <w:pPr>
              <w:spacing w:after="0"/>
            </w:pPr>
            <w:r>
              <w:rPr>
                <w:rFonts w:ascii="Arial" w:hAnsi="Arial"/>
                <w:sz w:val="19"/>
              </w:rPr>
              <w:t>Closes the guide without running anything.</w:t>
            </w:r>
          </w:p>
        </w:tc>
      </w:tr>
    </w:tbl>
    <w:p>
      <w:pPr>
        <w:spacing w:after="20"/>
      </w:pPr>
    </w:p>
    <w:p>
      <w:pPr>
        <w:pStyle w:val="Heading2"/>
        <w:keepNext/>
      </w:pPr>
      <w:r>
        <w:rPr>
          <w:rFonts w:ascii="Arial" w:hAnsi="Arial"/>
          <w:b/>
          <w:color w:val="1D587D"/>
          <w:sz w:val="28"/>
        </w:rPr>
        <w:t>3.6 LOCAL TEST and SIMULATOR modes</w:t>
      </w:r>
    </w:p>
    <w:tbl>
      <w:tblPr>
        <w:tblStyle w:val="TableGrid"/>
        <w:tblW w:type="auto" w:w="0"/>
        <w:jc w:val="center"/>
        <w:tblLook w:firstColumn="1" w:firstRow="1" w:lastColumn="0" w:lastRow="0" w:noHBand="0" w:noVBand="1" w:val="04A0"/>
      </w:tblPr>
      <w:tblGrid>
        <w:gridCol w:w="3427"/>
        <w:gridCol w:w="3427"/>
        <w:gridCol w:w="3427"/>
      </w:tblGrid>
      <w:tr>
        <w:trPr>
          <w:cantSplit/>
          <w:tblHeader w:val="true"/>
        </w:trPr>
        <w:tc>
          <w:tcPr>
            <w:tcW w:type="dxa" w:w="3427"/>
            <w:tcMar>
              <w:top w:w="55" w:type="dxa"/>
              <w:start w:w="65" w:type="dxa"/>
              <w:bottom w:w="55" w:type="dxa"/>
              <w:end w:w="65" w:type="dxa"/>
            </w:tcMar>
            <w:vAlign w:val="top"/>
            <w:shd w:fill="EAF0F5"/>
          </w:tcPr>
          <w:p>
            <w:pPr>
              <w:spacing w:after="0"/>
            </w:pPr>
            <w:r>
              <w:rPr>
                <w:rFonts w:ascii="Arial" w:hAnsi="Arial"/>
                <w:b/>
                <w:color w:val="183B57"/>
                <w:sz w:val="19"/>
              </w:rPr>
              <w:t>Mode</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Control authority</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Typical use</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LOCAL TEST</w:t>
            </w:r>
          </w:p>
        </w:tc>
        <w:tc>
          <w:tcPr>
            <w:tcW w:type="dxa" w:w="3427"/>
            <w:tcMar>
              <w:top w:w="55" w:type="dxa"/>
              <w:start w:w="65" w:type="dxa"/>
              <w:bottom w:w="55" w:type="dxa"/>
              <w:end w:w="65" w:type="dxa"/>
            </w:tcMar>
            <w:vAlign w:val="top"/>
          </w:tcPr>
          <w:p>
            <w:pPr>
              <w:spacing w:after="0"/>
            </w:pPr>
            <w:r>
              <w:rPr>
                <w:rFonts w:ascii="Arial" w:hAnsi="Arial"/>
                <w:sz w:val="19"/>
              </w:rPr>
              <w:t>TurboFanLab owns the forward throttle and reverse controls. Start, fuel cutoff, test conditions, parameters, monitoring, and recording are available locally.</w:t>
            </w:r>
          </w:p>
        </w:tc>
        <w:tc>
          <w:tcPr>
            <w:tcW w:type="dxa" w:w="3427"/>
            <w:tcMar>
              <w:top w:w="55" w:type="dxa"/>
              <w:start w:w="65" w:type="dxa"/>
              <w:bottom w:w="55" w:type="dxa"/>
              <w:end w:w="65" w:type="dxa"/>
            </w:tcMar>
            <w:vAlign w:val="top"/>
          </w:tcPr>
          <w:p>
            <w:pPr>
              <w:spacing w:after="0"/>
            </w:pPr>
            <w:r>
              <w:rPr>
                <w:rFonts w:ascii="Arial" w:hAnsi="Arial"/>
                <w:sz w:val="19"/>
              </w:rPr>
              <w:t>Static tests, starts, map work, FCU tuning, reverse testing, and troubleshooting without a flight simulator.</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SIMULATOR</w:t>
            </w:r>
          </w:p>
        </w:tc>
        <w:tc>
          <w:tcPr>
            <w:tcW w:type="dxa" w:w="3427"/>
            <w:tcMar>
              <w:top w:w="55" w:type="dxa"/>
              <w:start w:w="65" w:type="dxa"/>
              <w:bottom w:w="55" w:type="dxa"/>
              <w:end w:w="65" w:type="dxa"/>
            </w:tcMar>
            <w:vAlign w:val="top"/>
          </w:tcPr>
          <w:p>
            <w:pPr>
              <w:spacing w:after="0"/>
            </w:pPr>
            <w:r>
              <w:rPr>
                <w:rFonts w:ascii="Arial" w:hAnsi="Arial"/>
                <w:sz w:val="19"/>
              </w:rPr>
              <w:t>The external simulator supplies forward throttle, reverse, starter/start, fuel-cutoff state, and the flight/environment inputs carried through TurboMgr. TurboFanLab remains available for monitoring, parameter work, test naming/guidance, data-log selection, and recording.</w:t>
            </w:r>
          </w:p>
        </w:tc>
        <w:tc>
          <w:tcPr>
            <w:tcW w:type="dxa" w:w="3427"/>
            <w:tcMar>
              <w:top w:w="55" w:type="dxa"/>
              <w:start w:w="65" w:type="dxa"/>
              <w:bottom w:w="55" w:type="dxa"/>
              <w:end w:w="65" w:type="dxa"/>
            </w:tcMar>
            <w:vAlign w:val="top"/>
          </w:tcPr>
          <w:p>
            <w:pPr>
              <w:spacing w:after="0"/>
            </w:pPr>
            <w:r>
              <w:rPr>
                <w:rFonts w:ascii="Arial" w:hAnsi="Arial"/>
                <w:sz w:val="19"/>
              </w:rPr>
              <w:t>Flight-test work in which the engine follows the aircraft controls and atmosphere while TurboFanLab records and displays the same engine in real time.</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Simulator data on the Lab screen. </w:t>
            </w:r>
            <w:r>
              <w:rPr>
                <w:rFonts w:ascii="Arial" w:hAnsi="Arial"/>
                <w:sz w:val="23"/>
              </w:rPr>
              <w:t>When SIMULATOR is selected and valid packets are arriving, the NETWORK panel shows the received control values and the simulator-supplied aircraft/environment quantities. The Test Conditions/Inlet Values areas then provide the corresponding operating-condition view used to interpret the engine response.</w:t>
            </w:r>
          </w:p>
        </w:tc>
      </w:tr>
    </w:tbl>
    <w:p>
      <w:pPr>
        <w:spacing w:after="40"/>
      </w:pPr>
    </w:p>
    <w:p>
      <w:pPr>
        <w:pStyle w:val="Heading2"/>
        <w:keepNext/>
      </w:pPr>
      <w:r>
        <w:rPr>
          <w:rFonts w:ascii="Arial" w:hAnsi="Arial"/>
          <w:b/>
          <w:color w:val="1D587D"/>
          <w:sz w:val="28"/>
        </w:rPr>
        <w:t>3.7 Selecting data for a test flight</w:t>
      </w:r>
    </w:p>
    <w:p>
      <w:pPr>
        <w:spacing w:before="0" w:after="120" w:line="259" w:lineRule="auto"/>
      </w:pPr>
      <w:r>
        <w:rPr>
          <w:rFonts w:ascii="Arial" w:hAnsi="Arial"/>
          <w:sz w:val="24"/>
        </w:rPr>
        <w:t xml:space="preserve">Choose the DATA LOG groups </w:t>
      </w:r>
      <w:r>
        <w:rPr>
          <w:rFonts w:ascii="Arial" w:hAnsi="Arial"/>
          <w:b/>
          <w:sz w:val="24"/>
        </w:rPr>
        <w:t>before</w:t>
      </w:r>
      <w:r>
        <w:rPr>
          <w:rFonts w:ascii="Arial" w:hAnsi="Arial"/>
          <w:sz w:val="24"/>
        </w:rPr>
        <w:t xml:space="preserve"> pressing F8. TurboFanLab writes one timestamped CSV for each selected group; the F8 capture system also provides the matched visual recording used for later analysis.</w:t>
      </w:r>
    </w:p>
    <w:p>
      <w:pPr>
        <w:spacing w:before="0" w:after="80" w:line="259" w:lineRule="auto"/>
      </w:pPr>
      <w:r>
        <w:rPr>
          <w:rFonts w:ascii="Arial" w:hAnsi="Arial"/>
          <w:sz w:val="22"/>
        </w:rPr>
        <w:t>Recommended normal flight-test selection. Captures the fuel/control response and the principal engine state needed to evaluate N1/N2, EGT, fuel flow, thrust, commands, and transients.</w:t>
      </w:r>
    </w:p>
    <w:p>
      <w:pPr>
        <w:spacing w:before="0" w:after="80" w:line="259" w:lineRule="auto"/>
      </w:pPr>
      <w:r>
        <w:rPr>
          <w:rFonts w:ascii="Arial" w:hAnsi="Arial"/>
          <w:sz w:val="22"/>
        </w:rPr>
        <w:t>Add only when the test is aimed at component-map behavior or reverser operation. Keeping the selection focused makes later analysis easier.</w:t>
      </w:r>
    </w:p>
    <w:p>
      <w:pPr>
        <w:spacing w:before="0" w:after="80" w:line="259" w:lineRule="auto"/>
      </w:pPr>
      <w:r>
        <w:rPr>
          <w:rFonts w:ascii="Arial" w:hAnsi="Arial"/>
          <w:sz w:val="22"/>
        </w:rPr>
        <w:t>Use for short diagnostic runs when a broad capture is specifically needed. It produces substantially more data than a focused test.</w:t>
      </w:r>
    </w:p>
    <w:p>
      <w:pPr>
        <w:spacing w:before="0" w:after="120" w:line="259" w:lineRule="auto"/>
      </w:pPr>
      <w:r>
        <w:rPr>
          <w:rFonts w:ascii="Arial" w:hAnsi="Arial"/>
          <w:sz w:val="24"/>
        </w:rPr>
        <w:t>The NETWORK group is present in the current Lab layout but may be disabled until network telemetry logging is enabled in the running build. When available, it is useful for interface timing or simulator-link diagnostics.</w:t>
      </w:r>
    </w:p>
    <w:p>
      <w:pPr>
        <w:spacing w:after="100"/>
        <w:ind w:left="259" w:hanging="259"/>
      </w:pPr>
      <w:r>
        <w:rPr>
          <w:rFonts w:ascii="Arial" w:hAnsi="Arial"/>
          <w:b/>
          <w:color w:val="1F5F8B"/>
          <w:sz w:val="23"/>
        </w:rPr>
        <w:t xml:space="preserve">1. </w:t>
      </w:r>
      <w:r>
        <w:rPr>
          <w:rFonts w:ascii="Arial" w:hAnsi="Arial"/>
          <w:sz w:val="23"/>
        </w:rPr>
        <w:t xml:space="preserve">Enter a meaningful </w:t>
      </w:r>
      <w:r>
        <w:rPr>
          <w:rFonts w:ascii="Arial" w:hAnsi="Arial"/>
          <w:b/>
          <w:sz w:val="23"/>
        </w:rPr>
        <w:t>TEST</w:t>
      </w:r>
      <w:r>
        <w:rPr>
          <w:rFonts w:ascii="Arial" w:hAnsi="Arial"/>
          <w:sz w:val="23"/>
        </w:rPr>
        <w:t xml:space="preserve"> name before the run.</w:t>
      </w:r>
    </w:p>
    <w:p>
      <w:pPr>
        <w:spacing w:after="100"/>
        <w:ind w:left="259" w:hanging="259"/>
      </w:pPr>
      <w:r>
        <w:rPr>
          <w:rFonts w:ascii="Arial" w:hAnsi="Arial"/>
          <w:b/>
          <w:color w:val="1F5F8B"/>
          <w:sz w:val="23"/>
        </w:rPr>
        <w:t xml:space="preserve">2. </w:t>
      </w:r>
      <w:r>
        <w:rPr>
          <w:rFonts w:ascii="Arial" w:hAnsi="Arial"/>
          <w:sz w:val="23"/>
        </w:rPr>
        <w:t xml:space="preserve">Select </w:t>
      </w:r>
      <w:r>
        <w:rPr>
          <w:rFonts w:ascii="Arial" w:hAnsi="Arial"/>
          <w:b/>
          <w:sz w:val="23"/>
        </w:rPr>
        <w:t>FCU</w:t>
      </w:r>
      <w:r>
        <w:rPr>
          <w:rFonts w:ascii="Arial" w:hAnsi="Arial"/>
          <w:sz w:val="23"/>
        </w:rPr>
        <w:t xml:space="preserve"> and </w:t>
      </w:r>
      <w:r>
        <w:rPr>
          <w:rFonts w:ascii="Arial" w:hAnsi="Arial"/>
          <w:b/>
          <w:sz w:val="23"/>
        </w:rPr>
        <w:t>ENGINE</w:t>
      </w:r>
      <w:r>
        <w:rPr>
          <w:rFonts w:ascii="Arial" w:hAnsi="Arial"/>
          <w:sz w:val="23"/>
        </w:rPr>
        <w:t xml:space="preserve"> for a normal test flight; add only the specialized groups required by the test objective.</w:t>
      </w:r>
    </w:p>
    <w:p>
      <w:pPr>
        <w:spacing w:after="100"/>
        <w:ind w:left="259" w:hanging="259"/>
      </w:pPr>
      <w:r>
        <w:rPr>
          <w:rFonts w:ascii="Arial" w:hAnsi="Arial"/>
          <w:b/>
          <w:color w:val="1F5F8B"/>
          <w:sz w:val="23"/>
        </w:rPr>
        <w:t xml:space="preserve">3. </w:t>
      </w:r>
      <w:r>
        <w:rPr>
          <w:rFonts w:ascii="Arial" w:hAnsi="Arial"/>
          <w:sz w:val="23"/>
        </w:rPr>
        <w:t xml:space="preserve">Press </w:t>
      </w:r>
      <w:r>
        <w:rPr>
          <w:rFonts w:ascii="Arial" w:hAnsi="Arial"/>
          <w:b/>
          <w:sz w:val="23"/>
        </w:rPr>
        <w:t>F8</w:t>
      </w:r>
      <w:r>
        <w:rPr>
          <w:rFonts w:ascii="Arial" w:hAnsi="Arial"/>
          <w:sz w:val="23"/>
        </w:rPr>
        <w:t xml:space="preserve"> before the event you want captured and confirm the banner changes to </w:t>
      </w:r>
      <w:r>
        <w:rPr>
          <w:rFonts w:ascii="Arial" w:hAnsi="Arial"/>
          <w:b/>
          <w:sz w:val="23"/>
        </w:rPr>
        <w:t>RECORDING</w:t>
      </w:r>
      <w:r>
        <w:rPr>
          <w:rFonts w:ascii="Arial" w:hAnsi="Arial"/>
          <w:sz w:val="23"/>
        </w:rPr>
        <w:t>.</w:t>
      </w:r>
    </w:p>
    <w:p>
      <w:pPr>
        <w:spacing w:after="100"/>
        <w:ind w:left="259" w:hanging="259"/>
      </w:pPr>
      <w:r>
        <w:rPr>
          <w:rFonts w:ascii="Arial" w:hAnsi="Arial"/>
          <w:b/>
          <w:color w:val="1F5F8B"/>
          <w:sz w:val="23"/>
        </w:rPr>
        <w:t xml:space="preserve">4. </w:t>
      </w:r>
      <w:r>
        <w:rPr>
          <w:rFonts w:ascii="Arial" w:hAnsi="Arial"/>
          <w:sz w:val="23"/>
        </w:rPr>
        <w:t>Run the planned start, taxi, takeoff, climb, cruise, transient, reverse, or shutdown sequence.</w:t>
      </w:r>
    </w:p>
    <w:p>
      <w:pPr>
        <w:spacing w:after="100"/>
        <w:ind w:left="259" w:hanging="259"/>
      </w:pPr>
      <w:r>
        <w:rPr>
          <w:rFonts w:ascii="Arial" w:hAnsi="Arial"/>
          <w:b/>
          <w:color w:val="1F5F8B"/>
          <w:sz w:val="23"/>
        </w:rPr>
        <w:t xml:space="preserve">5. </w:t>
      </w:r>
      <w:r>
        <w:rPr>
          <w:rFonts w:ascii="Arial" w:hAnsi="Arial"/>
          <w:sz w:val="23"/>
        </w:rPr>
        <w:t xml:space="preserve">Continue long enough after the final event to establish the post-event steady condition, then press </w:t>
      </w:r>
      <w:r>
        <w:rPr>
          <w:rFonts w:ascii="Arial" w:hAnsi="Arial"/>
          <w:b/>
          <w:sz w:val="23"/>
        </w:rPr>
        <w:t>F8</w:t>
      </w:r>
      <w:r>
        <w:rPr>
          <w:rFonts w:ascii="Arial" w:hAnsi="Arial"/>
          <w:sz w:val="23"/>
        </w:rPr>
        <w:t xml:space="preserve"> again to close the recording package.</w:t>
      </w:r>
    </w:p>
    <w:p>
      <w:pPr>
        <w:pStyle w:val="Heading2"/>
        <w:keepNext/>
      </w:pPr>
      <w:r>
        <w:rPr>
          <w:rFonts w:ascii="Arial" w:hAnsi="Arial"/>
          <w:b/>
          <w:color w:val="1D587D"/>
          <w:sz w:val="28"/>
        </w:rPr>
        <w:t>3.8 NETWORK panel</w:t>
      </w:r>
    </w:p>
    <w:p>
      <w:pPr>
        <w:jc w:val="center"/>
      </w:pPr>
      <w:r>
        <w:drawing>
          <wp:inline xmlns:a="http://schemas.openxmlformats.org/drawingml/2006/main" xmlns:pic="http://schemas.openxmlformats.org/drawingml/2006/picture">
            <wp:extent cx="3200400" cy="3357958"/>
            <wp:docPr id="2" name="Picture 2"/>
            <wp:cNvGraphicFramePr>
              <a:graphicFrameLocks noChangeAspect="1"/>
            </wp:cNvGraphicFramePr>
            <a:graphic>
              <a:graphicData uri="http://schemas.openxmlformats.org/drawingml/2006/picture">
                <pic:pic>
                  <pic:nvPicPr>
                    <pic:cNvPr id="0" name="figure_2.png"/>
                    <pic:cNvPicPr/>
                  </pic:nvPicPr>
                  <pic:blipFill>
                    <a:blip r:embed="rId11"/>
                    <a:stretch>
                      <a:fillRect/>
                    </a:stretch>
                  </pic:blipFill>
                  <pic:spPr>
                    <a:xfrm>
                      <a:off x="0" y="0"/>
                      <a:ext cx="3200400" cy="3357958"/>
                    </a:xfrm>
                    <a:prstGeom prst="rect"/>
                  </pic:spPr>
                </pic:pic>
              </a:graphicData>
            </a:graphic>
          </wp:inline>
        </w:drawing>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Field</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Control</w:t>
            </w:r>
          </w:p>
        </w:tc>
        <w:tc>
          <w:tcPr>
            <w:tcW w:type="dxa" w:w="5141"/>
            <w:tcMar>
              <w:top w:w="55" w:type="dxa"/>
              <w:start w:w="65" w:type="dxa"/>
              <w:bottom w:w="55" w:type="dxa"/>
              <w:end w:w="65" w:type="dxa"/>
            </w:tcMar>
            <w:vAlign w:val="top"/>
          </w:tcPr>
          <w:p>
            <w:pPr>
              <w:spacing w:after="0"/>
            </w:pPr>
            <w:r>
              <w:rPr>
                <w:rFonts w:ascii="Arial" w:hAnsi="Arial"/>
                <w:sz w:val="19"/>
              </w:rPr>
              <w:t>LOCAL TEST means Lab control. SIMULATOR means the external simulation supplies throttle, reverse, start/starter, fuel-cutoff state, and flight/environment inputs through TurboMgr.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Status</w:t>
            </w:r>
          </w:p>
        </w:tc>
        <w:tc>
          <w:tcPr>
            <w:tcW w:type="dxa" w:w="5141"/>
            <w:tcMar>
              <w:top w:w="55" w:type="dxa"/>
              <w:start w:w="65" w:type="dxa"/>
              <w:bottom w:w="55" w:type="dxa"/>
              <w:end w:w="65" w:type="dxa"/>
            </w:tcMar>
            <w:vAlign w:val="top"/>
          </w:tcPr>
          <w:p>
            <w:pPr>
              <w:spacing w:after="0"/>
            </w:pPr>
            <w:r>
              <w:rPr>
                <w:rFonts w:ascii="Arial" w:hAnsi="Arial"/>
                <w:sz w:val="19"/>
              </w:rPr>
              <w:t>LINK ACTIVE</w:t>
            </w:r>
            <w:r>
              <w:rPr>
                <w:rFonts w:ascii="Arial" w:hAnsi="Arial"/>
                <w:sz w:val="19"/>
              </w:rPr>
              <w:t xml:space="preserve"> means the network sockets are ready and valid simulator control packets are being received. </w:t>
            </w:r>
            <w:r>
              <w:rPr>
                <w:rFonts w:ascii="Arial" w:hAnsi="Arial"/>
                <w:sz w:val="19"/>
              </w:rPr>
              <w:t>WAITING FOR SIM</w:t>
            </w:r>
            <w:r>
              <w:rPr>
                <w:rFonts w:ascii="Arial" w:hAnsi="Arial"/>
                <w:sz w:val="19"/>
              </w:rPr>
              <w:t xml:space="preserve"> means the network endpoints are ready but valid control traffic has not yet arrived. </w:t>
            </w:r>
            <w:r>
              <w:rPr>
                <w:rFonts w:ascii="Arial" w:hAnsi="Arial"/>
                <w:sz w:val="19"/>
              </w:rPr>
              <w:t>UDP ERROR</w:t>
            </w:r>
            <w:r>
              <w:rPr>
                <w:rFonts w:ascii="Arial" w:hAnsi="Arial"/>
                <w:sz w:val="19"/>
              </w:rPr>
              <w:t xml:space="preserve"> means the network endpoints were not successfully established.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Engine</w:t>
            </w:r>
          </w:p>
        </w:tc>
        <w:tc>
          <w:tcPr>
            <w:tcW w:type="dxa" w:w="5141"/>
            <w:tcMar>
              <w:top w:w="55" w:type="dxa"/>
              <w:start w:w="65" w:type="dxa"/>
              <w:bottom w:w="55" w:type="dxa"/>
              <w:end w:w="65" w:type="dxa"/>
            </w:tcMar>
            <w:vAlign w:val="top"/>
          </w:tcPr>
          <w:p>
            <w:pPr>
              <w:spacing w:after="0"/>
            </w:pPr>
            <w:r>
              <w:rPr>
                <w:rFonts w:ascii="Arial" w:hAnsi="Arial"/>
                <w:sz w:val="19"/>
              </w:rPr>
              <w:t>The engine/channel whose simulator traffic and engine return data are being displayed.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Receive</w:t>
            </w:r>
          </w:p>
        </w:tc>
        <w:tc>
          <w:tcPr>
            <w:tcW w:type="dxa" w:w="5141"/>
            <w:tcMar>
              <w:top w:w="55" w:type="dxa"/>
              <w:start w:w="65" w:type="dxa"/>
              <w:bottom w:w="55" w:type="dxa"/>
              <w:end w:w="65" w:type="dxa"/>
            </w:tcMar>
            <w:vAlign w:val="top"/>
          </w:tcPr>
          <w:p>
            <w:pPr>
              <w:spacing w:after="0"/>
            </w:pPr>
            <w:r>
              <w:rPr>
                <w:rFonts w:ascii="Arial" w:hAnsi="Arial"/>
                <w:sz w:val="19"/>
              </w:rPr>
              <w:t>The local address and port accepting simulator control/environment packets. An address of 0.0.0.0 means the receiver is bound to the available local network interfaces.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Send</w:t>
            </w:r>
          </w:p>
        </w:tc>
        <w:tc>
          <w:tcPr>
            <w:tcW w:type="dxa" w:w="5141"/>
            <w:tcMar>
              <w:top w:w="55" w:type="dxa"/>
              <w:start w:w="65" w:type="dxa"/>
              <w:bottom w:w="55" w:type="dxa"/>
              <w:end w:w="65" w:type="dxa"/>
            </w:tcMar>
            <w:vAlign w:val="top"/>
          </w:tcPr>
          <w:p>
            <w:pPr>
              <w:spacing w:after="0"/>
            </w:pPr>
            <w:r>
              <w:rPr>
                <w:rFonts w:ascii="Arial" w:hAnsi="Arial"/>
                <w:sz w:val="19"/>
              </w:rPr>
              <w:t>The simulator destination address and port used for returned engine data. 127.0.0.1 indicates the simulator is on the same computer; a LAN address indicates a separate simulator computer.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RX / TX</w:t>
            </w:r>
          </w:p>
        </w:tc>
        <w:tc>
          <w:tcPr>
            <w:tcW w:type="dxa" w:w="5141"/>
            <w:tcMar>
              <w:top w:w="55" w:type="dxa"/>
              <w:start w:w="65" w:type="dxa"/>
              <w:bottom w:w="55" w:type="dxa"/>
              <w:end w:w="65" w:type="dxa"/>
            </w:tcMar>
            <w:vAlign w:val="top"/>
          </w:tcPr>
          <w:p>
            <w:pPr>
              <w:spacing w:after="0"/>
            </w:pPr>
            <w:r>
              <w:rPr>
                <w:rFonts w:ascii="Arial" w:hAnsi="Arial"/>
                <w:sz w:val="19"/>
              </w:rPr>
              <w:t>Counts of received and transmitted packets. Both should continue increasing during a healthy two-way connection.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RX ctl</w:t>
            </w:r>
          </w:p>
        </w:tc>
        <w:tc>
          <w:tcPr>
            <w:tcW w:type="dxa" w:w="5141"/>
            <w:tcMar>
              <w:top w:w="55" w:type="dxa"/>
              <w:start w:w="65" w:type="dxa"/>
              <w:bottom w:w="55" w:type="dxa"/>
              <w:end w:w="65" w:type="dxa"/>
            </w:tcMar>
            <w:vAlign w:val="top"/>
          </w:tcPr>
          <w:p>
            <w:pPr>
              <w:spacing w:after="0"/>
            </w:pPr>
            <w:r>
              <w:rPr>
                <w:rFonts w:ascii="Arial" w:hAnsi="Arial"/>
                <w:sz w:val="19"/>
              </w:rPr>
              <w:t>The throttle (T) and reverse (R) commands most recently received from the simulator. Changing the simulator controls should be reflected here.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SIM AIR / ALT</w:t>
            </w:r>
          </w:p>
        </w:tc>
        <w:tc>
          <w:tcPr>
            <w:tcW w:type="dxa" w:w="5141"/>
            <w:tcMar>
              <w:top w:w="55" w:type="dxa"/>
              <w:start w:w="65" w:type="dxa"/>
              <w:bottom w:w="55" w:type="dxa"/>
              <w:end w:w="65" w:type="dxa"/>
            </w:tcMar>
            <w:vAlign w:val="top"/>
          </w:tcPr>
          <w:p>
            <w:pPr>
              <w:spacing w:after="0"/>
            </w:pPr>
            <w:r>
              <w:rPr>
                <w:rFonts w:ascii="Arial" w:hAnsi="Arial"/>
                <w:sz w:val="19"/>
              </w:rPr>
              <w:t>Latest simulator-supplied true airspeed and altitude. The current screen capture may still show the legacy FG prefix.</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SIM TEMP / P</w:t>
            </w:r>
          </w:p>
        </w:tc>
        <w:tc>
          <w:tcPr>
            <w:tcW w:type="dxa" w:w="5141"/>
            <w:tcMar>
              <w:top w:w="55" w:type="dxa"/>
              <w:start w:w="65" w:type="dxa"/>
              <w:bottom w:w="55" w:type="dxa"/>
              <w:end w:w="65" w:type="dxa"/>
            </w:tcMar>
            <w:vAlign w:val="top"/>
          </w:tcPr>
          <w:p>
            <w:pPr>
              <w:spacing w:after="0"/>
            </w:pPr>
            <w:r>
              <w:rPr>
                <w:rFonts w:ascii="Arial" w:hAnsi="Arial"/>
                <w:sz w:val="19"/>
              </w:rPr>
              <w:t>Latest simulator-supplied static temperature and pressure. The current screen capture may still show the legacy FG prefix.</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TX eng</w:t>
            </w:r>
          </w:p>
        </w:tc>
        <w:tc>
          <w:tcPr>
            <w:tcW w:type="dxa" w:w="5141"/>
            <w:tcMar>
              <w:top w:w="55" w:type="dxa"/>
              <w:start w:w="65" w:type="dxa"/>
              <w:bottom w:w="55" w:type="dxa"/>
              <w:end w:w="65" w:type="dxa"/>
            </w:tcMar>
            <w:vAlign w:val="top"/>
          </w:tcPr>
          <w:p>
            <w:pPr>
              <w:spacing w:after="0"/>
            </w:pPr>
            <w:r>
              <w:rPr>
                <w:rFonts w:ascii="Arial" w:hAnsi="Arial"/>
                <w:sz w:val="19"/>
              </w:rPr>
              <w:t>The engine thrust and fuel-flow values currently being returned toward the simulator.</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Connection check. </w:t>
            </w:r>
            <w:r>
              <w:rPr>
                <w:rFonts w:ascii="Arial" w:hAnsi="Arial"/>
                <w:sz w:val="23"/>
              </w:rPr>
              <w:t>A green TurboModel shared-memory link active indication confirms the Lab-to-engine engineering connection. LINK ACTIVE in the NETWORK panel confirms valid external simulator traffic. In a flight-test configuration, both indications should be healthy, the RX/TX counters should advance, and the received aircraft/environment values should follow the simulator.</w:t>
            </w:r>
          </w:p>
        </w:tc>
      </w:tr>
    </w:tbl>
    <w:p>
      <w:pPr>
        <w:spacing w:after="40"/>
      </w:pPr>
    </w:p>
    <w:p>
      <w:pPr>
        <w:pStyle w:val="Heading2"/>
        <w:keepNext/>
      </w:pPr>
      <w:r>
        <w:rPr>
          <w:rFonts w:ascii="Arial" w:hAnsi="Arial"/>
          <w:b/>
          <w:color w:val="1D587D"/>
          <w:sz w:val="28"/>
        </w:rPr>
        <w:t>3.9 Development workflow</w:t>
      </w:r>
    </w:p>
    <w:p>
      <w:pPr>
        <w:spacing w:before="0" w:after="120" w:line="259" w:lineRule="auto"/>
      </w:pPr>
      <w:r>
        <w:rPr>
          <w:rFonts w:ascii="Arial" w:hAnsi="Arial"/>
          <w:sz w:val="24"/>
        </w:rPr>
        <w:t>A typical development cycle starts with the default settings or an accepted model baseline, change one or a small group of parameters, run repeatable test, record the response, save promising settings, and finally adopt an accepted calibration into the next model baseline.</w:t>
      </w:r>
    </w:p>
    <w:p>
      <w:pPr>
        <w:spacing w:after="100"/>
        <w:ind w:left="259" w:hanging="259"/>
      </w:pPr>
      <w:r>
        <w:rPr>
          <w:rFonts w:ascii="Arial" w:hAnsi="Arial"/>
          <w:b/>
          <w:color w:val="1F5F8B"/>
          <w:sz w:val="23"/>
        </w:rPr>
        <w:t xml:space="preserve">1. </w:t>
      </w:r>
      <w:r>
        <w:rPr>
          <w:rFonts w:ascii="Arial" w:hAnsi="Arial"/>
          <w:b/>
          <w:sz w:val="23"/>
        </w:rPr>
        <w:t>DEFAULT</w:t>
      </w:r>
      <w:r>
        <w:rPr>
          <w:rFonts w:ascii="Arial" w:hAnsi="Arial"/>
          <w:sz w:val="23"/>
        </w:rPr>
        <w:t xml:space="preserve"> — restore exposed parameters to the current TurboModel baseline.</w:t>
      </w:r>
    </w:p>
    <w:p>
      <w:pPr>
        <w:spacing w:after="100"/>
        <w:ind w:left="259" w:hanging="259"/>
      </w:pPr>
      <w:r>
        <w:rPr>
          <w:rFonts w:ascii="Arial" w:hAnsi="Arial"/>
          <w:b/>
          <w:color w:val="1F5F8B"/>
          <w:sz w:val="23"/>
        </w:rPr>
        <w:t xml:space="preserve">2. </w:t>
      </w:r>
      <w:r>
        <w:rPr>
          <w:rFonts w:ascii="Arial" w:hAnsi="Arial"/>
          <w:b/>
          <w:sz w:val="23"/>
        </w:rPr>
        <w:t>Adjust</w:t>
      </w:r>
      <w:r>
        <w:rPr>
          <w:rFonts w:ascii="Arial" w:hAnsi="Arial"/>
          <w:sz w:val="23"/>
        </w:rPr>
        <w:t xml:space="preserve"> — change the parameter or parameter group being evaluated.</w:t>
      </w:r>
    </w:p>
    <w:p>
      <w:pPr>
        <w:spacing w:after="100"/>
        <w:ind w:left="259" w:hanging="259"/>
      </w:pPr>
      <w:r>
        <w:rPr>
          <w:rFonts w:ascii="Arial" w:hAnsi="Arial"/>
          <w:b/>
          <w:color w:val="1F5F8B"/>
          <w:sz w:val="23"/>
        </w:rPr>
        <w:t xml:space="preserve">3. </w:t>
      </w:r>
      <w:r>
        <w:rPr>
          <w:rFonts w:ascii="Arial" w:hAnsi="Arial"/>
          <w:b/>
          <w:sz w:val="23"/>
        </w:rPr>
        <w:t>Test</w:t>
      </w:r>
      <w:r>
        <w:rPr>
          <w:rFonts w:ascii="Arial" w:hAnsi="Arial"/>
          <w:sz w:val="23"/>
        </w:rPr>
        <w:t xml:space="preserve"> — run a controlled start, steady-state point, transient, reverse sequence, static test, or simulator-coupled test.</w:t>
      </w:r>
    </w:p>
    <w:p>
      <w:pPr>
        <w:spacing w:after="100"/>
        <w:ind w:left="259" w:hanging="259"/>
      </w:pPr>
      <w:r>
        <w:rPr>
          <w:rFonts w:ascii="Arial" w:hAnsi="Arial"/>
          <w:b/>
          <w:color w:val="1F5F8B"/>
          <w:sz w:val="23"/>
        </w:rPr>
        <w:t xml:space="preserve">4. </w:t>
      </w:r>
      <w:r>
        <w:rPr>
          <w:rFonts w:ascii="Arial" w:hAnsi="Arial"/>
          <w:b/>
          <w:sz w:val="23"/>
        </w:rPr>
        <w:t>Record</w:t>
      </w:r>
      <w:r>
        <w:rPr>
          <w:rFonts w:ascii="Arial" w:hAnsi="Arial"/>
          <w:sz w:val="23"/>
        </w:rPr>
        <w:t xml:space="preserve"> — capture the required engineering data and, when useful, synchronized video for later analysis.</w:t>
      </w:r>
    </w:p>
    <w:p>
      <w:pPr>
        <w:spacing w:after="100"/>
        <w:ind w:left="259" w:hanging="259"/>
      </w:pPr>
      <w:r>
        <w:rPr>
          <w:rFonts w:ascii="Arial" w:hAnsi="Arial"/>
          <w:b/>
          <w:color w:val="1F5F8B"/>
          <w:sz w:val="23"/>
        </w:rPr>
        <w:t xml:space="preserve">5. </w:t>
      </w:r>
      <w:r>
        <w:rPr>
          <w:rFonts w:ascii="Arial" w:hAnsi="Arial"/>
          <w:b/>
          <w:sz w:val="23"/>
        </w:rPr>
        <w:t>SAVE</w:t>
      </w:r>
      <w:r>
        <w:rPr>
          <w:rFonts w:ascii="Arial" w:hAnsi="Arial"/>
          <w:sz w:val="23"/>
        </w:rPr>
        <w:t xml:space="preserve"> — preserve a promising calibration as a named parameter file.</w:t>
      </w:r>
    </w:p>
    <w:p>
      <w:pPr>
        <w:spacing w:after="100"/>
        <w:ind w:left="259" w:hanging="259"/>
      </w:pPr>
      <w:r>
        <w:rPr>
          <w:rFonts w:ascii="Arial" w:hAnsi="Arial"/>
          <w:b/>
          <w:color w:val="1F5F8B"/>
          <w:sz w:val="23"/>
        </w:rPr>
        <w:t xml:space="preserve">6. </w:t>
      </w:r>
      <w:r>
        <w:rPr>
          <w:rFonts w:ascii="Arial" w:hAnsi="Arial"/>
          <w:b/>
          <w:sz w:val="23"/>
        </w:rPr>
        <w:t>LOAD</w:t>
      </w:r>
      <w:r>
        <w:rPr>
          <w:rFonts w:ascii="Arial" w:hAnsi="Arial"/>
          <w:sz w:val="23"/>
        </w:rPr>
        <w:t xml:space="preserve"> — restore a previously saved parameter file for repeat testing or comparison.</w:t>
      </w:r>
    </w:p>
    <w:p>
      <w:pPr>
        <w:spacing w:after="100"/>
        <w:ind w:left="259" w:hanging="259"/>
      </w:pPr>
      <w:r>
        <w:rPr>
          <w:rFonts w:ascii="Arial" w:hAnsi="Arial"/>
          <w:b/>
          <w:color w:val="1F5F8B"/>
          <w:sz w:val="23"/>
        </w:rPr>
        <w:t xml:space="preserve">7. </w:t>
      </w:r>
      <w:r>
        <w:rPr>
          <w:rFonts w:ascii="Arial" w:hAnsi="Arial"/>
          <w:b/>
          <w:sz w:val="23"/>
        </w:rPr>
        <w:t>BUILD</w:t>
      </w:r>
      <w:r>
        <w:rPr>
          <w:rFonts w:ascii="Arial" w:hAnsi="Arial"/>
          <w:sz w:val="23"/>
        </w:rPr>
        <w:t xml:space="preserve"> — after validation, use the selected saved parameter file to create the next compiled TurboModel DEFAULT baseline. BUILD is a planned TurboFanLab function; implementation is TBD.</w:t>
      </w:r>
    </w:p>
    <w:p>
      <w:pPr>
        <w:pStyle w:val="Heading2"/>
        <w:keepNext/>
      </w:pPr>
      <w:r>
        <w:rPr>
          <w:rFonts w:ascii="Arial" w:hAnsi="Arial"/>
          <w:b/>
          <w:color w:val="1D587D"/>
          <w:sz w:val="28"/>
        </w:rPr>
        <w:t>3.10 Tips for Modeling</w:t>
      </w:r>
    </w:p>
    <w:p>
      <w:pPr>
        <w:pStyle w:val="ListBullet"/>
        <w:spacing w:after="60"/>
        <w:ind w:left="360"/>
      </w:pPr>
      <w:r>
        <w:rPr>
          <w:rFonts w:ascii="Arial" w:hAnsi="Arial"/>
          <w:sz w:val="23"/>
        </w:rPr>
        <w:t>Change as few parameters as possible per run so the cause of a response remains identifiable.</w:t>
      </w:r>
    </w:p>
    <w:p>
      <w:pPr>
        <w:pStyle w:val="ListBullet"/>
        <w:spacing w:after="60"/>
        <w:ind w:left="360"/>
      </w:pPr>
      <w:r>
        <w:rPr>
          <w:rFonts w:ascii="Arial" w:hAnsi="Arial"/>
          <w:sz w:val="23"/>
        </w:rPr>
        <w:t>Use consistent test points and stabilization times when comparing calibrations.</w:t>
      </w:r>
    </w:p>
    <w:p>
      <w:pPr>
        <w:pStyle w:val="ListBullet"/>
        <w:spacing w:after="60"/>
        <w:ind w:left="360"/>
      </w:pPr>
      <w:r>
        <w:rPr>
          <w:rFonts w:ascii="Arial" w:hAnsi="Arial"/>
          <w:sz w:val="23"/>
        </w:rPr>
        <w:t>Record enough data to explain the result, not merely to show that a value changed.</w:t>
      </w:r>
    </w:p>
    <w:p>
      <w:pPr>
        <w:pStyle w:val="ListBullet"/>
        <w:spacing w:after="60"/>
        <w:ind w:left="360"/>
      </w:pPr>
      <w:r>
        <w:rPr>
          <w:rFonts w:ascii="Arial" w:hAnsi="Arial"/>
          <w:sz w:val="23"/>
        </w:rPr>
        <w:t>Save a named parameter file before moving to the next calibration branch.</w:t>
      </w:r>
    </w:p>
    <w:p>
      <w:pPr>
        <w:pStyle w:val="ListBullet"/>
        <w:spacing w:after="60"/>
        <w:ind w:left="360"/>
      </w:pPr>
      <w:r>
        <w:rPr>
          <w:rFonts w:ascii="Arial" w:hAnsi="Arial"/>
          <w:sz w:val="23"/>
        </w:rPr>
        <w:t>Treat maps, spool dynamics, fuel/control gains, combustion, gas-path geometry, and reverse calibration as distinct physical areas; avoid compensating for a deficiency in one subsystem by distorting another.</w:t>
      </w:r>
    </w:p>
    <w:p>
      <w:pPr>
        <w:pStyle w:val="ListBullet"/>
        <w:spacing w:after="60"/>
        <w:ind w:left="360"/>
      </w:pPr>
      <w:r>
        <w:rPr>
          <w:rFonts w:ascii="Arial" w:hAnsi="Arial"/>
          <w:sz w:val="23"/>
        </w:rPr>
        <w:t>After accepting a calibration, repeat the relevant regression tests from the updated baseline.</w:t>
      </w:r>
    </w:p>
    <w:p>
      <w:pPr>
        <w:pStyle w:val="Heading1"/>
        <w:keepNext/>
        <w:pageBreakBefore w:val="0"/>
        <w:spacing w:before="280"/>
      </w:pPr>
      <w:r>
        <w:rPr>
          <w:rFonts w:ascii="Arial" w:hAnsi="Arial"/>
          <w:b/>
          <w:color w:val="153F60"/>
          <w:sz w:val="36"/>
        </w:rPr>
        <w:t>4. Working with Model Parameters</w:t>
      </w:r>
    </w:p>
    <w:p>
      <w:pPr>
        <w:spacing w:before="0" w:after="120" w:line="259" w:lineRule="auto"/>
      </w:pPr>
      <w:r>
        <w:rPr>
          <w:rFonts w:ascii="Arial" w:hAnsi="Arial"/>
          <w:sz w:val="24"/>
        </w:rPr>
        <w:t>TurboFanLab presents selected TurboModel parameters as an engineering control panel. Parameters are organized by primary topic in the same general form used by the Lab. Select a topic to see its parameter names; select an individual parameter to see its description, baseline value, allowed range, and adjustment step.</w:t>
      </w:r>
    </w:p>
    <w:p>
      <w:pPr>
        <w:spacing w:before="0" w:after="120" w:line="259" w:lineRule="auto"/>
      </w:pPr>
      <w:r>
        <w:rPr>
          <w:rFonts w:ascii="Arial" w:hAnsi="Arial"/>
          <w:sz w:val="24"/>
        </w:rPr>
        <w:t>Changing an exposed parameter changes that value in the running development engine, allowing the effect to be observed immediately in a controlled test. The normal simulation interface does not change when a Lab parameter is adjusted.</w:t>
      </w:r>
    </w:p>
    <w:p>
      <w:pPr>
        <w:pStyle w:val="Heading2"/>
        <w:keepNext/>
      </w:pPr>
      <w:r>
        <w:rPr>
          <w:rFonts w:ascii="Arial" w:hAnsi="Arial"/>
          <w:b/>
          <w:color w:val="1D587D"/>
          <w:sz w:val="28"/>
        </w:rPr>
        <w:t>4.1 Parameter states</w:t>
      </w:r>
    </w:p>
    <w:tbl>
      <w:tblPr>
        <w:tblStyle w:val="TableGrid"/>
        <w:tblW w:type="auto" w:w="0"/>
        <w:jc w:val="center"/>
        <w:tblLook w:firstColumn="1" w:firstRow="1" w:lastColumn="0" w:lastRow="0" w:noHBand="0" w:noVBand="1" w:val="04A0"/>
      </w:tblPr>
      <w:tblGrid>
        <w:gridCol w:w="3427"/>
        <w:gridCol w:w="3427"/>
        <w:gridCol w:w="3427"/>
      </w:tblGrid>
      <w:tr>
        <w:trPr>
          <w:cantSplit/>
          <w:tblHeader w:val="true"/>
        </w:trPr>
        <w:tc>
          <w:tcPr>
            <w:tcW w:type="dxa" w:w="3427"/>
            <w:tcMar>
              <w:top w:w="55" w:type="dxa"/>
              <w:start w:w="65" w:type="dxa"/>
              <w:bottom w:w="55" w:type="dxa"/>
              <w:end w:w="65" w:type="dxa"/>
            </w:tcMar>
            <w:vAlign w:val="top"/>
            <w:shd w:fill="EAF0F5"/>
          </w:tcPr>
          <w:p>
            <w:pPr>
              <w:spacing w:after="0"/>
            </w:pPr>
            <w:r>
              <w:rPr>
                <w:rFonts w:ascii="Arial" w:hAnsi="Arial"/>
                <w:b/>
                <w:color w:val="183B57"/>
                <w:sz w:val="19"/>
              </w:rPr>
              <w:t>State</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Meaning</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Use</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Model baseline</w:t>
            </w:r>
          </w:p>
        </w:tc>
        <w:tc>
          <w:tcPr>
            <w:tcW w:type="dxa" w:w="3427"/>
            <w:tcMar>
              <w:top w:w="55" w:type="dxa"/>
              <w:start w:w="65" w:type="dxa"/>
              <w:bottom w:w="55" w:type="dxa"/>
              <w:end w:w="65" w:type="dxa"/>
            </w:tcMar>
            <w:vAlign w:val="top"/>
          </w:tcPr>
          <w:p>
            <w:pPr>
              <w:spacing w:after="0"/>
            </w:pPr>
            <w:r>
              <w:rPr>
                <w:rFonts w:ascii="Arial" w:hAnsi="Arial"/>
                <w:sz w:val="19"/>
              </w:rPr>
              <w:t>The accepted parameter values used when TurboModel starts.</w:t>
            </w:r>
          </w:p>
        </w:tc>
        <w:tc>
          <w:tcPr>
            <w:tcW w:type="dxa" w:w="3427"/>
            <w:tcMar>
              <w:top w:w="55" w:type="dxa"/>
              <w:start w:w="65" w:type="dxa"/>
              <w:bottom w:w="55" w:type="dxa"/>
              <w:end w:w="65" w:type="dxa"/>
            </w:tcMar>
            <w:vAlign w:val="top"/>
          </w:tcPr>
          <w:p>
            <w:pPr>
              <w:spacing w:after="0"/>
            </w:pPr>
            <w:r>
              <w:rPr>
                <w:rFonts w:ascii="Arial" w:hAnsi="Arial"/>
                <w:sz w:val="19"/>
              </w:rPr>
              <w:t>Normal simulation operation and the starting point for development.</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Live Lab settings</w:t>
            </w:r>
          </w:p>
        </w:tc>
        <w:tc>
          <w:tcPr>
            <w:tcW w:type="dxa" w:w="3427"/>
            <w:tcMar>
              <w:top w:w="55" w:type="dxa"/>
              <w:start w:w="65" w:type="dxa"/>
              <w:bottom w:w="55" w:type="dxa"/>
              <w:end w:w="65" w:type="dxa"/>
            </w:tcMar>
            <w:vAlign w:val="top"/>
          </w:tcPr>
          <w:p>
            <w:pPr>
              <w:spacing w:after="0"/>
            </w:pPr>
            <w:r>
              <w:rPr>
                <w:rFonts w:ascii="Arial" w:hAnsi="Arial"/>
                <w:sz w:val="19"/>
              </w:rPr>
              <w:t>Temporary values being evaluated in the selected development engine.</w:t>
            </w:r>
          </w:p>
        </w:tc>
        <w:tc>
          <w:tcPr>
            <w:tcW w:type="dxa" w:w="3427"/>
            <w:tcMar>
              <w:top w:w="55" w:type="dxa"/>
              <w:start w:w="65" w:type="dxa"/>
              <w:bottom w:w="55" w:type="dxa"/>
              <w:end w:w="65" w:type="dxa"/>
            </w:tcMar>
            <w:vAlign w:val="top"/>
          </w:tcPr>
          <w:p>
            <w:pPr>
              <w:spacing w:after="0"/>
            </w:pPr>
            <w:r>
              <w:rPr>
                <w:rFonts w:ascii="Arial" w:hAnsi="Arial"/>
                <w:sz w:val="19"/>
              </w:rPr>
              <w:t>Development, comparison, troubleshooting, and tuning.</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Saved parameter file</w:t>
            </w:r>
          </w:p>
        </w:tc>
        <w:tc>
          <w:tcPr>
            <w:tcW w:type="dxa" w:w="3427"/>
            <w:tcMar>
              <w:top w:w="55" w:type="dxa"/>
              <w:start w:w="65" w:type="dxa"/>
              <w:bottom w:w="55" w:type="dxa"/>
              <w:end w:w="65" w:type="dxa"/>
            </w:tcMar>
            <w:vAlign w:val="top"/>
          </w:tcPr>
          <w:p>
            <w:pPr>
              <w:spacing w:after="0"/>
            </w:pPr>
            <w:r>
              <w:rPr>
                <w:rFonts w:ascii="Arial" w:hAnsi="Arial"/>
                <w:sz w:val="19"/>
              </w:rPr>
              <w:t>A named file containing Lab calibration settings saved for later reuse.</w:t>
            </w:r>
          </w:p>
        </w:tc>
        <w:tc>
          <w:tcPr>
            <w:tcW w:type="dxa" w:w="3427"/>
            <w:tcMar>
              <w:top w:w="55" w:type="dxa"/>
              <w:start w:w="65" w:type="dxa"/>
              <w:bottom w:w="55" w:type="dxa"/>
              <w:end w:w="65" w:type="dxa"/>
            </w:tcMar>
            <w:vAlign w:val="top"/>
          </w:tcPr>
          <w:p>
            <w:pPr>
              <w:spacing w:after="0"/>
            </w:pPr>
            <w:r>
              <w:rPr>
                <w:rFonts w:ascii="Arial" w:hAnsi="Arial"/>
                <w:sz w:val="19"/>
              </w:rPr>
              <w:t>Repeat tests, compare calibrations, and preserve promising setups.</w:t>
            </w:r>
          </w:p>
        </w:tc>
      </w:tr>
    </w:tbl>
    <w:p>
      <w:pPr>
        <w:spacing w:after="20"/>
      </w:pPr>
    </w:p>
    <w:p>
      <w:pPr>
        <w:pStyle w:val="Heading2"/>
        <w:keepNext/>
      </w:pPr>
      <w:r>
        <w:rPr>
          <w:rFonts w:ascii="Arial" w:hAnsi="Arial"/>
          <w:b/>
          <w:color w:val="1D587D"/>
          <w:sz w:val="28"/>
        </w:rPr>
        <w:t>4.2 Saving and Reusing Parameter Files</w:t>
      </w:r>
    </w:p>
    <w:p>
      <w:pPr>
        <w:spacing w:before="0" w:after="120" w:line="259" w:lineRule="auto"/>
      </w:pPr>
      <w:r>
        <w:rPr>
          <w:rFonts w:ascii="Arial" w:hAnsi="Arial"/>
          <w:sz w:val="24"/>
        </w:rPr>
        <w:t>When TurboFanLab starts, it reads the current TurboModel baseline values and presents those values as the DEFAULT parameters for the engineering session. That compiled baseline remains the reference point until a different calibration is deliberately loaded for testing.</w:t>
      </w:r>
    </w:p>
    <w:p>
      <w:pPr>
        <w:spacing w:before="0" w:after="120" w:line="259" w:lineRule="auto"/>
      </w:pPr>
      <w:r>
        <w:rPr>
          <w:rFonts w:ascii="Arial" w:hAnsi="Arial"/>
          <w:sz w:val="24"/>
        </w:rPr>
        <w:t>SAVE writes the current adjustable calibration values to a named parameter file. The file contains calibration settings only; it does not contain the instantaneous running condition of the engine such as N1, N2, EGT, spool acceleration, actuator position, or elapsed test time.</w:t>
      </w:r>
    </w:p>
    <w:p>
      <w:pPr>
        <w:spacing w:before="0" w:after="120" w:line="259" w:lineRule="auto"/>
      </w:pPr>
      <w:r>
        <w:rPr>
          <w:rFonts w:ascii="Arial" w:hAnsi="Arial"/>
          <w:sz w:val="24"/>
        </w:rPr>
        <w:t>LOAD begins with the current compiled baseline and then applies the calibration values contained in the selected parameter file to the running development engine. LOAD does not alter the TurboModel source or compiled DEFAULT baseline.</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DEFAULT | LOAD | SAVE | BUILD. </w:t>
            </w:r>
            <w:r>
              <w:rPr>
                <w:rFonts w:ascii="Arial" w:hAnsi="Arial"/>
                <w:sz w:val="23"/>
              </w:rPr>
              <w:t>DEFAULT, LOAD, and SAVE support calibration development. BUILD is the planned action that promotes one named saved parameter file into the next compiled TurboModel DEFAULT baseline. See Section 4.3.</w:t>
            </w:r>
          </w:p>
        </w:tc>
      </w:tr>
    </w:tbl>
    <w:p>
      <w:pPr>
        <w:spacing w:after="40"/>
      </w:pPr>
    </w:p>
    <w:p>
      <w:pPr>
        <w:pStyle w:val="Heading2"/>
        <w:keepNext/>
      </w:pPr>
      <w:r>
        <w:rPr>
          <w:rFonts w:ascii="Arial" w:hAnsi="Arial"/>
          <w:b/>
          <w:color w:val="1D587D"/>
          <w:sz w:val="28"/>
        </w:rPr>
        <w:t>4.3 TurboModel Update</w:t>
      </w:r>
    </w:p>
    <w:p>
      <w:pPr>
        <w:spacing w:before="0" w:after="120" w:line="259" w:lineRule="auto"/>
      </w:pPr>
      <w:r>
        <w:rPr>
          <w:rFonts w:ascii="Arial" w:hAnsi="Arial"/>
          <w:b/>
          <w:sz w:val="24"/>
        </w:rPr>
        <w:t>The TurboFanLab parameter menu is DEFAULT | LOAD | SAVE | BUILD.</w:t>
      </w:r>
      <w:r>
        <w:rPr>
          <w:rFonts w:ascii="Arial" w:hAnsi="Arial"/>
          <w:sz w:val="24"/>
        </w:rPr>
        <w:t xml:space="preserve"> LOAD and SAVE are used to develop and preserve calibrations. </w:t>
      </w:r>
      <w:r>
        <w:rPr>
          <w:rFonts w:ascii="Arial" w:hAnsi="Arial"/>
          <w:b/>
          <w:sz w:val="24"/>
        </w:rPr>
        <w:t>BUILD</w:t>
      </w:r>
      <w:r>
        <w:rPr>
          <w:rFonts w:ascii="Arial" w:hAnsi="Arial"/>
          <w:sz w:val="24"/>
        </w:rPr>
        <w:t xml:space="preserve"> is the planned TurboFanLab function that takes one selected saved parameter file and makes that calibration the compiled DEFAULT baseline of a new TurboModel build.</w:t>
      </w:r>
    </w:p>
    <w:p>
      <w:pPr>
        <w:spacing w:after="100"/>
        <w:ind w:left="259" w:hanging="259"/>
      </w:pPr>
      <w:r>
        <w:rPr>
          <w:rFonts w:ascii="Arial" w:hAnsi="Arial"/>
          <w:b/>
          <w:color w:val="1F5F8B"/>
          <w:sz w:val="23"/>
        </w:rPr>
        <w:t xml:space="preserve">1. </w:t>
      </w:r>
      <w:r>
        <w:rPr>
          <w:rFonts w:ascii="Arial" w:hAnsi="Arial"/>
          <w:b/>
          <w:sz w:val="23"/>
        </w:rPr>
        <w:t>LOAD the intended parameter file.</w:t>
      </w:r>
      <w:r>
        <w:rPr>
          <w:rFonts w:ascii="Arial" w:hAnsi="Arial"/>
          <w:sz w:val="23"/>
        </w:rPr>
        <w:t xml:space="preserve"> In TurboFanLab, select LOAD and choose the saved parameter file that is to become the new baseline. Confirm that the PARAMS indication identifies the intended file.</w:t>
      </w:r>
    </w:p>
    <w:p>
      <w:pPr>
        <w:spacing w:after="100"/>
        <w:ind w:left="259" w:hanging="259"/>
      </w:pPr>
      <w:r>
        <w:rPr>
          <w:rFonts w:ascii="Arial" w:hAnsi="Arial"/>
          <w:b/>
          <w:color w:val="1F5F8B"/>
          <w:sz w:val="23"/>
        </w:rPr>
        <w:t xml:space="preserve">2. </w:t>
      </w:r>
      <w:r>
        <w:rPr>
          <w:rFonts w:ascii="Arial" w:hAnsi="Arial"/>
          <w:b/>
          <w:sz w:val="23"/>
        </w:rPr>
        <w:t>Test and verify it.</w:t>
      </w:r>
      <w:r>
        <w:rPr>
          <w:rFonts w:ascii="Arial" w:hAnsi="Arial"/>
          <w:sz w:val="23"/>
        </w:rPr>
        <w:t xml:space="preserve"> Run the required static or simulator-coupled checks with that file loaded. The file selected for BUILD should be the calibration that has completed the required development and verification work.</w:t>
      </w:r>
    </w:p>
    <w:p>
      <w:pPr>
        <w:spacing w:after="100"/>
        <w:ind w:left="259" w:hanging="259"/>
      </w:pPr>
      <w:r>
        <w:rPr>
          <w:rFonts w:ascii="Arial" w:hAnsi="Arial"/>
          <w:b/>
          <w:color w:val="1F5F8B"/>
          <w:sz w:val="23"/>
        </w:rPr>
        <w:t xml:space="preserve">3. </w:t>
      </w:r>
      <w:r>
        <w:rPr>
          <w:rFonts w:ascii="Arial" w:hAnsi="Arial"/>
          <w:b/>
          <w:sz w:val="23"/>
        </w:rPr>
        <w:t>SAVE any final changes.</w:t>
      </w:r>
      <w:r>
        <w:rPr>
          <w:rFonts w:ascii="Arial" w:hAnsi="Arial"/>
          <w:sz w:val="23"/>
        </w:rPr>
        <w:t xml:space="preserve"> If parameters are changed after LOAD, save those changes to the intended named parameter file, as BUILD operates on a saved file, not on unidentified or unsaved live edits.</w:t>
      </w:r>
    </w:p>
    <w:p>
      <w:pPr>
        <w:spacing w:after="100"/>
        <w:ind w:left="259" w:hanging="259"/>
      </w:pPr>
      <w:r>
        <w:rPr>
          <w:rFonts w:ascii="Arial" w:hAnsi="Arial"/>
          <w:b/>
          <w:color w:val="1F5F8B"/>
          <w:sz w:val="23"/>
        </w:rPr>
        <w:t xml:space="preserve">4. </w:t>
      </w:r>
      <w:r>
        <w:rPr>
          <w:rFonts w:ascii="Arial" w:hAnsi="Arial"/>
          <w:b/>
          <w:sz w:val="23"/>
        </w:rPr>
        <w:t>Press BUILD.</w:t>
      </w:r>
      <w:r>
        <w:rPr>
          <w:rFonts w:ascii="Arial" w:hAnsi="Arial"/>
          <w:sz w:val="23"/>
        </w:rPr>
        <w:t xml:space="preserve"> TurboFanLab opens a confirmation window identifying the exact saved parameter file that will be used for the new TurboModel DEFAULT baseline.</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One compiled DEFAULT per build.</w:t>
            </w:r>
            <w:r>
              <w:rPr>
                <w:rFonts w:ascii="Arial" w:hAnsi="Arial"/>
                <w:sz w:val="23"/>
              </w:rPr>
              <w:t xml:space="preserve"> Rev 1.13 treats each TurboModel executable as having one compiled DEFAULT baseline. Other saved parameter files may be retained and loaded for development or comparison, but they do not become the compiled DEFAULT until that file is selected and used in a BUILD operation.</w:t>
            </w:r>
          </w:p>
        </w:tc>
      </w:tr>
    </w:tbl>
    <w:p>
      <w:pPr>
        <w:spacing w:after="40"/>
      </w:pPr>
    </w:p>
    <w:p>
      <w:pPr>
        <w:pStyle w:val="Heading1"/>
        <w:keepNext/>
        <w:pageBreakBefore w:val="0"/>
        <w:spacing w:before="280"/>
      </w:pPr>
      <w:r>
        <w:rPr>
          <w:rFonts w:ascii="Arial" w:hAnsi="Arial"/>
          <w:b/>
          <w:color w:val="153F60"/>
          <w:sz w:val="36"/>
        </w:rPr>
        <w:t>5. TurboMgr Modes</w:t>
      </w:r>
    </w:p>
    <w:p>
      <w:pPr>
        <w:spacing w:before="0" w:after="120" w:line="259" w:lineRule="auto"/>
      </w:pPr>
      <w:r>
        <w:rPr>
          <w:rFonts w:ascii="Arial" w:hAnsi="Arial"/>
          <w:sz w:val="24"/>
        </w:rPr>
        <w:t>TurboMgr owns the simulation-facing engine interface and manages the TurboModel engine processes. The engine applications use the same control/data relationships whether the host simulation is on the same computer or reached over a LAN.</w:t>
      </w:r>
    </w:p>
    <w:p>
      <w:pPr>
        <w:spacing w:before="0" w:after="120" w:line="259" w:lineRule="auto"/>
      </w:pPr>
      <w:r>
        <w:rPr>
          <w:rFonts w:ascii="Arial" w:hAnsi="Arial"/>
          <w:sz w:val="24"/>
        </w:rPr>
        <w:t>When everything runs on one computer, the simulation and TurboMgr can communicate through the local loopback interface (</w:t>
      </w:r>
      <w:r>
        <w:rPr>
          <w:rFonts w:ascii="Arial" w:hAnsi="Arial"/>
          <w:b/>
          <w:sz w:val="24"/>
        </w:rPr>
        <w:t>127.0.0.1</w:t>
      </w:r>
      <w:r>
        <w:rPr>
          <w:rFonts w:ascii="Arial" w:hAnsi="Arial"/>
          <w:sz w:val="24"/>
        </w:rPr>
        <w:t>). For a separate engine computer, TurboMgr uses the configured LAN addresses. Network configuration is established as part of the TurboFan_7 setup; once configured, the location of the connection is intended to be transparent to TurboModel and to normal engine operation.</w:t>
      </w:r>
    </w:p>
    <w:p>
      <w:pPr>
        <w:pStyle w:val="Heading2"/>
        <w:keepNext/>
      </w:pPr>
      <w:r>
        <w:rPr>
          <w:rFonts w:ascii="Arial" w:hAnsi="Arial"/>
          <w:b/>
          <w:color w:val="1D587D"/>
          <w:sz w:val="28"/>
        </w:rPr>
        <w:t>5.1 Operating Modes</w:t>
      </w:r>
    </w:p>
    <w:p>
      <w:pPr>
        <w:spacing w:before="80" w:after="60"/>
      </w:pPr>
      <w:r>
        <w:rPr>
          <w:rFonts w:ascii="Arial" w:hAnsi="Arial"/>
          <w:b/>
          <w:color w:val="1F5F8B"/>
          <w:sz w:val="23"/>
        </w:rPr>
        <w:t>Flight Mode</w:t>
      </w:r>
    </w:p>
    <w:p>
      <w:pPr>
        <w:spacing w:before="0" w:after="80" w:line="259" w:lineRule="auto"/>
      </w:pPr>
      <w:r>
        <w:rPr>
          <w:rFonts w:ascii="Arial" w:hAnsi="Arial"/>
          <w:b/>
          <w:sz w:val="22"/>
        </w:rPr>
        <w:t>Simulation + TurboMgr + TurboModel</w:t>
      </w:r>
    </w:p>
    <w:p>
      <w:pPr>
        <w:spacing w:before="0" w:after="80" w:line="259" w:lineRule="auto"/>
      </w:pPr>
      <w:r>
        <w:rPr>
          <w:rFonts w:ascii="Arial" w:hAnsi="Arial"/>
          <w:sz w:val="22"/>
        </w:rPr>
        <w:t>Normal simulation operation. TurboMgr starts and manages the required engine instances, receives controls and flight/environment data from the simulation, and returns thrust and engine data. TurboFanLab is not required.</w:t>
      </w:r>
    </w:p>
    <w:p>
      <w:pPr>
        <w:spacing w:before="80" w:after="60"/>
      </w:pPr>
      <w:r>
        <w:rPr>
          <w:rFonts w:ascii="Arial" w:hAnsi="Arial"/>
          <w:b/>
          <w:color w:val="1F5F8B"/>
          <w:sz w:val="23"/>
        </w:rPr>
        <w:t>Static Test Mode</w:t>
      </w:r>
    </w:p>
    <w:p>
      <w:pPr>
        <w:spacing w:before="0" w:after="80" w:line="259" w:lineRule="auto"/>
      </w:pPr>
      <w:r>
        <w:rPr>
          <w:rFonts w:ascii="Arial" w:hAnsi="Arial"/>
          <w:b/>
          <w:sz w:val="22"/>
        </w:rPr>
        <w:t>TurboMgr + TurboModel + TurboFanLab</w:t>
      </w:r>
    </w:p>
    <w:p>
      <w:pPr>
        <w:spacing w:before="0" w:after="80" w:line="259" w:lineRule="auto"/>
      </w:pPr>
      <w:r>
        <w:rPr>
          <w:rFonts w:ascii="Arial" w:hAnsi="Arial"/>
          <w:sz w:val="22"/>
        </w:rPr>
        <w:t>Engine development without a flight simulation. TurboFanLab supplies the engineering/test interface for commands, conditions, parameter adjustment, monitoring, and recording while TurboMgr manages the selected engine process.</w:t>
      </w:r>
    </w:p>
    <w:p>
      <w:pPr>
        <w:spacing w:before="80" w:after="60"/>
      </w:pPr>
      <w:r>
        <w:rPr>
          <w:rFonts w:ascii="Arial" w:hAnsi="Arial"/>
          <w:b/>
          <w:color w:val="1F5F8B"/>
          <w:sz w:val="23"/>
        </w:rPr>
        <w:t>Flight Test Mode</w:t>
      </w:r>
    </w:p>
    <w:p>
      <w:pPr>
        <w:spacing w:before="0" w:after="80" w:line="259" w:lineRule="auto"/>
      </w:pPr>
      <w:r>
        <w:rPr>
          <w:rFonts w:ascii="Arial" w:hAnsi="Arial"/>
          <w:b/>
          <w:sz w:val="22"/>
        </w:rPr>
        <w:t>Simulation + TurboMgr + TurboModel + TurboFanLab</w:t>
      </w:r>
    </w:p>
    <w:p>
      <w:pPr>
        <w:spacing w:before="0" w:after="80" w:line="259" w:lineRule="auto"/>
      </w:pPr>
      <w:r>
        <w:rPr>
          <w:rFonts w:ascii="Arial" w:hAnsi="Arial"/>
          <w:sz w:val="22"/>
        </w:rPr>
        <w:t>The normal simulation control/data path remains active while TurboFanLab provides engineering observation and test recording for the selected engine. This mode supports collection of flight-test data and video for later analysis and diagnosis.</w:t>
      </w:r>
    </w:p>
    <w:p>
      <w:pPr>
        <w:pStyle w:val="Heading2"/>
        <w:keepNext/>
      </w:pPr>
      <w:r>
        <w:rPr>
          <w:rFonts w:ascii="Arial" w:hAnsi="Arial"/>
          <w:b/>
          <w:color w:val="1D587D"/>
          <w:sz w:val="28"/>
        </w:rPr>
        <w:t>5.2 Control and Data Interface</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Direction</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Typical information</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Simulation → TurboMgr</w:t>
            </w:r>
          </w:p>
        </w:tc>
        <w:tc>
          <w:tcPr>
            <w:tcW w:type="dxa" w:w="5141"/>
            <w:tcMar>
              <w:top w:w="55" w:type="dxa"/>
              <w:start w:w="65" w:type="dxa"/>
              <w:bottom w:w="55" w:type="dxa"/>
              <w:end w:w="65" w:type="dxa"/>
            </w:tcMar>
            <w:vAlign w:val="top"/>
          </w:tcPr>
          <w:p>
            <w:pPr>
              <w:spacing w:after="0"/>
            </w:pPr>
            <w:r>
              <w:rPr>
                <w:rFonts w:ascii="Arial" w:hAnsi="Arial"/>
                <w:sz w:val="19"/>
              </w:rPr>
              <w:t>Throttle/thrust-lever commands, start and fuel-control commands, reverse command, engine selection/channel information, and required flight/environment data such as altitude, Mach/airspeed, pressure, and temperature.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TurboMgr → TurboModel</w:t>
            </w:r>
          </w:p>
        </w:tc>
        <w:tc>
          <w:tcPr>
            <w:tcW w:type="dxa" w:w="5141"/>
            <w:tcMar>
              <w:top w:w="55" w:type="dxa"/>
              <w:start w:w="65" w:type="dxa"/>
              <w:bottom w:w="55" w:type="dxa"/>
              <w:end w:w="65" w:type="dxa"/>
            </w:tcMar>
            <w:vAlign w:val="top"/>
          </w:tcPr>
          <w:p>
            <w:pPr>
              <w:spacing w:after="0"/>
            </w:pPr>
            <w:r>
              <w:rPr>
                <w:rFonts w:ascii="Arial" w:hAnsi="Arial"/>
                <w:sz w:val="19"/>
              </w:rPr>
              <w:t>Per-engine commands and operating conditions routed to the appropriate managed engine instance.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TurboModel → TurboMgr</w:t>
            </w:r>
          </w:p>
        </w:tc>
        <w:tc>
          <w:tcPr>
            <w:tcW w:type="dxa" w:w="5141"/>
            <w:tcMar>
              <w:top w:w="55" w:type="dxa"/>
              <w:start w:w="65" w:type="dxa"/>
              <w:bottom w:w="55" w:type="dxa"/>
              <w:end w:w="65" w:type="dxa"/>
            </w:tcMar>
            <w:vAlign w:val="top"/>
          </w:tcPr>
          <w:p>
            <w:pPr>
              <w:spacing w:after="0"/>
            </w:pPr>
            <w:r>
              <w:rPr>
                <w:rFonts w:ascii="Arial" w:hAnsi="Arial"/>
                <w:sz w:val="19"/>
              </w:rPr>
              <w:t>Calculated thrust and engine-state/instrumentation data such as N1, N2, EGT, fuel flow, and other channels defined by the interface.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TurboMgr → Simulation</w:t>
            </w:r>
          </w:p>
        </w:tc>
        <w:tc>
          <w:tcPr>
            <w:tcW w:type="dxa" w:w="5141"/>
            <w:tcMar>
              <w:top w:w="55" w:type="dxa"/>
              <w:start w:w="65" w:type="dxa"/>
              <w:bottom w:w="55" w:type="dxa"/>
              <w:end w:w="65" w:type="dxa"/>
            </w:tcMar>
            <w:vAlign w:val="top"/>
          </w:tcPr>
          <w:p>
            <w:pPr>
              <w:spacing w:after="0"/>
            </w:pPr>
            <w:r>
              <w:rPr>
                <w:rFonts w:ascii="Arial" w:hAnsi="Arial"/>
                <w:sz w:val="19"/>
              </w:rPr>
              <w:t>Per-engine thrust and engine data returned to the host simulation for dynamics, indications, systems, and recording.</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Multi-engine operation.</w:t>
            </w:r>
            <w:r>
              <w:rPr>
                <w:rFonts w:ascii="Arial" w:hAnsi="Arial"/>
                <w:sz w:val="23"/>
              </w:rPr>
              <w:t xml:space="preserve"> TurboMgr is designed around independent engine channels and can manage configurations of up to four TurboModel engines. The host simulation sees the defined engine interface rather than the internal engine equations.</w:t>
            </w:r>
          </w:p>
        </w:tc>
      </w:tr>
    </w:tbl>
    <w:p>
      <w:pPr>
        <w:spacing w:after="40"/>
      </w:pPr>
    </w:p>
    <w:p>
      <w:pPr>
        <w:pStyle w:val="Heading1"/>
        <w:keepNext/>
        <w:pageBreakBefore w:val="0"/>
        <w:spacing w:before="280"/>
      </w:pPr>
      <w:r>
        <w:rPr>
          <w:rFonts w:ascii="Arial" w:hAnsi="Arial"/>
          <w:b/>
          <w:color w:val="153F60"/>
          <w:sz w:val="36"/>
        </w:rPr>
        <w:t>6. Parameters</w:t>
      </w:r>
    </w:p>
    <w:p>
      <w:pPr>
        <w:spacing w:before="0" w:after="120" w:line="259" w:lineRule="auto"/>
      </w:pPr>
      <w:r>
        <w:rPr>
          <w:rFonts w:ascii="Arial" w:hAnsi="Arial"/>
          <w:sz w:val="24"/>
        </w:rPr>
        <w:t>Select a primary topic in either column to display its parameter names, then select a parameter to open its description, baseline value, adjustment range, and step size. Use the search box at the top of the manual to locate a parameter directly.</w:t>
      </w:r>
    </w:p>
    <w:p>
      <w:r>
        <w:rPr>
          <w:rFonts w:ascii="Arial" w:hAnsi="Arial"/>
          <w:i/>
          <w:color w:val="5A6774"/>
          <w:sz w:val="21"/>
        </w:rPr>
        <w:t>Parameter topics are closed by default; open only the topic or parameter you want to inspect.</w:t>
      </w:r>
    </w:p>
    <w:p>
      <w:pPr>
        <w:keepNext/>
        <w:spacing w:before="200" w:after="100"/>
      </w:pPr>
      <w:r>
        <w:rPr>
          <w:rFonts w:ascii="Arial" w:hAnsi="Arial"/>
          <w:b/>
          <w:color w:val="1F5F8B"/>
          <w:sz w:val="24"/>
        </w:rPr>
        <w:t>Start / Control</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Idle throttle detent</w:t>
            </w:r>
          </w:p>
        </w:tc>
        <w:tc>
          <w:tcPr>
            <w:tcW w:type="dxa" w:w="4176"/>
            <w:tcMar>
              <w:top w:w="45" w:type="dxa"/>
              <w:start w:w="50" w:type="dxa"/>
              <w:bottom w:w="45" w:type="dxa"/>
              <w:end w:w="50" w:type="dxa"/>
            </w:tcMar>
          </w:tcPr>
          <w:p>
            <w:pPr>
              <w:spacing w:after="0"/>
            </w:pPr>
            <w:r>
              <w:rPr>
                <w:rFonts w:ascii="Arial" w:hAnsi="Arial"/>
                <w:b w:val="0"/>
                <w:sz w:val="16"/>
              </w:rPr>
              <w:t>Forward-throttle idle stop; in local operation the throttle command cannot fall below this value while reverse is stowed.</w:t>
            </w:r>
          </w:p>
        </w:tc>
        <w:tc>
          <w:tcPr>
            <w:tcW w:type="dxa" w:w="1152"/>
            <w:tcMar>
              <w:top w:w="45" w:type="dxa"/>
              <w:start w:w="50" w:type="dxa"/>
              <w:bottom w:w="45" w:type="dxa"/>
              <w:end w:w="50" w:type="dxa"/>
            </w:tcMar>
          </w:tcPr>
          <w:p>
            <w:pPr>
              <w:spacing w:after="0"/>
            </w:pPr>
            <w:r>
              <w:rPr>
                <w:rFonts w:ascii="Arial" w:hAnsi="Arial"/>
                <w:b w:val="0"/>
                <w:sz w:val="16"/>
              </w:rPr>
              <w:t>0.6</w:t>
            </w:r>
          </w:p>
        </w:tc>
        <w:tc>
          <w:tcPr>
            <w:tcW w:type="dxa" w:w="1800"/>
            <w:tcMar>
              <w:top w:w="45" w:type="dxa"/>
              <w:start w:w="50" w:type="dxa"/>
              <w:bottom w:w="45" w:type="dxa"/>
              <w:end w:w="50" w:type="dxa"/>
            </w:tcMar>
          </w:tcPr>
          <w:p>
            <w:pPr>
              <w:spacing w:after="0"/>
            </w:pPr>
            <w:r>
              <w:rPr>
                <w:rFonts w:ascii="Arial" w:hAnsi="Arial"/>
                <w:b w:val="0"/>
                <w:sz w:val="16"/>
              </w:rPr>
              <w:t>0.5 to 0.7</w:t>
            </w:r>
          </w:p>
        </w:tc>
        <w:tc>
          <w:tcPr>
            <w:tcW w:type="dxa" w:w="1080"/>
            <w:tcMar>
              <w:top w:w="45" w:type="dxa"/>
              <w:start w:w="50" w:type="dxa"/>
              <w:bottom w:w="45" w:type="dxa"/>
              <w:end w:w="50" w:type="dxa"/>
            </w:tcMar>
          </w:tcPr>
          <w:p>
            <w:pPr>
              <w:spacing w:after="0"/>
            </w:pPr>
            <w:r>
              <w:rPr>
                <w:rFonts w:ascii="Arial" w:hAnsi="Arial"/>
                <w:b w:val="0"/>
                <w:sz w:val="16"/>
              </w:rPr>
              <w:t>0.01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lightoff N2</w:t>
            </w:r>
          </w:p>
        </w:tc>
        <w:tc>
          <w:tcPr>
            <w:tcW w:type="dxa" w:w="4176"/>
            <w:tcMar>
              <w:top w:w="45" w:type="dxa"/>
              <w:start w:w="50" w:type="dxa"/>
              <w:bottom w:w="45" w:type="dxa"/>
              <w:end w:w="50" w:type="dxa"/>
            </w:tcMar>
          </w:tcPr>
          <w:p>
            <w:pPr>
              <w:spacing w:after="0"/>
            </w:pPr>
            <w:r>
              <w:rPr>
                <w:rFonts w:ascii="Arial" w:hAnsi="Arial"/>
                <w:b w:val="0"/>
                <w:sz w:val="16"/>
              </w:rPr>
              <w:t>N2 speed at which the FCU permits fuel for lightoff during the start sequence.</w:t>
            </w:r>
          </w:p>
        </w:tc>
        <w:tc>
          <w:tcPr>
            <w:tcW w:type="dxa" w:w="1152"/>
            <w:tcMar>
              <w:top w:w="45" w:type="dxa"/>
              <w:start w:w="50" w:type="dxa"/>
              <w:bottom w:w="45" w:type="dxa"/>
              <w:end w:w="50" w:type="dxa"/>
            </w:tcMar>
          </w:tcPr>
          <w:p>
            <w:pPr>
              <w:spacing w:after="0"/>
            </w:pPr>
            <w:r>
              <w:rPr>
                <w:rFonts w:ascii="Arial" w:hAnsi="Arial"/>
                <w:b w:val="0"/>
                <w:sz w:val="16"/>
              </w:rPr>
              <w:t>22 %</w:t>
            </w:r>
          </w:p>
        </w:tc>
        <w:tc>
          <w:tcPr>
            <w:tcW w:type="dxa" w:w="1800"/>
            <w:tcMar>
              <w:top w:w="45" w:type="dxa"/>
              <w:start w:w="50" w:type="dxa"/>
              <w:bottom w:w="45" w:type="dxa"/>
              <w:end w:w="50" w:type="dxa"/>
            </w:tcMar>
          </w:tcPr>
          <w:p>
            <w:pPr>
              <w:spacing w:after="0"/>
            </w:pPr>
            <w:r>
              <w:rPr>
                <w:rFonts w:ascii="Arial" w:hAnsi="Arial"/>
                <w:b w:val="0"/>
                <w:sz w:val="16"/>
              </w:rPr>
              <w:t>15 to 30 %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Starter cutout N2</w:t>
            </w:r>
          </w:p>
        </w:tc>
        <w:tc>
          <w:tcPr>
            <w:tcW w:type="dxa" w:w="4176"/>
            <w:tcMar>
              <w:top w:w="45" w:type="dxa"/>
              <w:start w:w="50" w:type="dxa"/>
              <w:bottom w:w="45" w:type="dxa"/>
              <w:end w:w="50" w:type="dxa"/>
            </w:tcMar>
          </w:tcPr>
          <w:p>
            <w:pPr>
              <w:spacing w:after="0"/>
            </w:pPr>
            <w:r>
              <w:rPr>
                <w:rFonts w:ascii="Arial" w:hAnsi="Arial"/>
                <w:b w:val="0"/>
                <w:sz w:val="16"/>
              </w:rPr>
              <w:t>N2 threshold used to remove starter drive after the engine has accelerated through the start sequence.</w:t>
            </w:r>
          </w:p>
        </w:tc>
        <w:tc>
          <w:tcPr>
            <w:tcW w:type="dxa" w:w="1152"/>
            <w:tcMar>
              <w:top w:w="45" w:type="dxa"/>
              <w:start w:w="50" w:type="dxa"/>
              <w:bottom w:w="45" w:type="dxa"/>
              <w:end w:w="50" w:type="dxa"/>
            </w:tcMar>
          </w:tcPr>
          <w:p>
            <w:pPr>
              <w:spacing w:after="0"/>
            </w:pPr>
            <w:r>
              <w:rPr>
                <w:rFonts w:ascii="Arial" w:hAnsi="Arial"/>
                <w:b w:val="0"/>
                <w:sz w:val="16"/>
              </w:rPr>
              <w:t>55 %</w:t>
            </w:r>
          </w:p>
        </w:tc>
        <w:tc>
          <w:tcPr>
            <w:tcW w:type="dxa" w:w="1800"/>
            <w:tcMar>
              <w:top w:w="45" w:type="dxa"/>
              <w:start w:w="50" w:type="dxa"/>
              <w:bottom w:w="45" w:type="dxa"/>
              <w:end w:w="50" w:type="dxa"/>
            </w:tcMar>
          </w:tcPr>
          <w:p>
            <w:pPr>
              <w:spacing w:after="0"/>
            </w:pPr>
            <w:r>
              <w:rPr>
                <w:rFonts w:ascii="Arial" w:hAnsi="Arial"/>
                <w:b w:val="0"/>
                <w:sz w:val="16"/>
              </w:rPr>
              <w:t>35 to 55 %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Idle N2 target</w:t>
            </w:r>
          </w:p>
        </w:tc>
        <w:tc>
          <w:tcPr>
            <w:tcW w:type="dxa" w:w="4176"/>
            <w:tcMar>
              <w:top w:w="45" w:type="dxa"/>
              <w:start w:w="50" w:type="dxa"/>
              <w:bottom w:w="45" w:type="dxa"/>
              <w:end w:w="50" w:type="dxa"/>
            </w:tcMar>
          </w:tcPr>
          <w:p>
            <w:pPr>
              <w:spacing w:after="0"/>
            </w:pPr>
            <w:r>
              <w:rPr>
                <w:rFonts w:ascii="Arial" w:hAnsi="Arial"/>
                <w:b w:val="0"/>
                <w:sz w:val="16"/>
              </w:rPr>
              <w:t>Gas-generator N2 target commanded by the FCU at the idle throttle detent.</w:t>
            </w:r>
          </w:p>
        </w:tc>
        <w:tc>
          <w:tcPr>
            <w:tcW w:type="dxa" w:w="1152"/>
            <w:tcMar>
              <w:top w:w="45" w:type="dxa"/>
              <w:start w:w="50" w:type="dxa"/>
              <w:bottom w:w="45" w:type="dxa"/>
              <w:end w:w="50" w:type="dxa"/>
            </w:tcMar>
          </w:tcPr>
          <w:p>
            <w:pPr>
              <w:spacing w:after="0"/>
            </w:pPr>
            <w:r>
              <w:rPr>
                <w:rFonts w:ascii="Arial" w:hAnsi="Arial"/>
                <w:b w:val="0"/>
                <w:sz w:val="16"/>
              </w:rPr>
              <w:t>60 %</w:t>
            </w:r>
          </w:p>
        </w:tc>
        <w:tc>
          <w:tcPr>
            <w:tcW w:type="dxa" w:w="1800"/>
            <w:tcMar>
              <w:top w:w="45" w:type="dxa"/>
              <w:start w:w="50" w:type="dxa"/>
              <w:bottom w:w="45" w:type="dxa"/>
              <w:end w:w="50" w:type="dxa"/>
            </w:tcMar>
          </w:tcPr>
          <w:p>
            <w:pPr>
              <w:spacing w:after="0"/>
            </w:pPr>
            <w:r>
              <w:rPr>
                <w:rFonts w:ascii="Arial" w:hAnsi="Arial"/>
                <w:b w:val="0"/>
                <w:sz w:val="16"/>
              </w:rPr>
              <w:t>50 to 70 %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Full throttle N2 target</w:t>
            </w:r>
          </w:p>
        </w:tc>
        <w:tc>
          <w:tcPr>
            <w:tcW w:type="dxa" w:w="4176"/>
            <w:tcMar>
              <w:top w:w="45" w:type="dxa"/>
              <w:start w:w="50" w:type="dxa"/>
              <w:bottom w:w="45" w:type="dxa"/>
              <w:end w:w="50" w:type="dxa"/>
            </w:tcMar>
          </w:tcPr>
          <w:p>
            <w:pPr>
              <w:spacing w:after="0"/>
            </w:pPr>
            <w:r>
              <w:rPr>
                <w:rFonts w:ascii="Arial" w:hAnsi="Arial"/>
                <w:b w:val="0"/>
                <w:sz w:val="16"/>
              </w:rPr>
              <w:t>Gas-generator N2 target at full forward throttle; the forward throttle schedule interpolates toward this value.</w:t>
            </w:r>
          </w:p>
        </w:tc>
        <w:tc>
          <w:tcPr>
            <w:tcW w:type="dxa" w:w="1152"/>
            <w:tcMar>
              <w:top w:w="45" w:type="dxa"/>
              <w:start w:w="50" w:type="dxa"/>
              <w:bottom w:w="45" w:type="dxa"/>
              <w:end w:w="50" w:type="dxa"/>
            </w:tcMar>
          </w:tcPr>
          <w:p>
            <w:pPr>
              <w:spacing w:after="0"/>
            </w:pPr>
            <w:r>
              <w:rPr>
                <w:rFonts w:ascii="Arial" w:hAnsi="Arial"/>
                <w:b w:val="0"/>
                <w:sz w:val="16"/>
              </w:rPr>
              <w:t>100 %</w:t>
            </w:r>
          </w:p>
        </w:tc>
        <w:tc>
          <w:tcPr>
            <w:tcW w:type="dxa" w:w="1800"/>
            <w:tcMar>
              <w:top w:w="45" w:type="dxa"/>
              <w:start w:w="50" w:type="dxa"/>
              <w:bottom w:w="45" w:type="dxa"/>
              <w:end w:w="50" w:type="dxa"/>
            </w:tcMar>
          </w:tcPr>
          <w:p>
            <w:pPr>
              <w:spacing w:after="0"/>
            </w:pPr>
            <w:r>
              <w:rPr>
                <w:rFonts w:ascii="Arial" w:hAnsi="Arial"/>
                <w:b w:val="0"/>
                <w:sz w:val="16"/>
              </w:rPr>
              <w:t>90 to 104 %</w:t>
            </w:r>
          </w:p>
        </w:tc>
        <w:tc>
          <w:tcPr>
            <w:tcW w:type="dxa" w:w="1080"/>
            <w:tcMar>
              <w:top w:w="45" w:type="dxa"/>
              <w:start w:w="50" w:type="dxa"/>
              <w:bottom w:w="45" w:type="dxa"/>
              <w:end w:w="50" w:type="dxa"/>
            </w:tcMar>
          </w:tcPr>
          <w:p>
            <w:pPr>
              <w:spacing w:after="0"/>
            </w:pPr>
            <w:r>
              <w:rPr>
                <w:rFonts w:ascii="Arial" w:hAnsi="Arial"/>
                <w:b w:val="0"/>
                <w:sz w:val="16"/>
              </w:rPr>
              <w:t>0.25 %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starter power</w:t>
            </w:r>
          </w:p>
        </w:tc>
        <w:tc>
          <w:tcPr>
            <w:tcW w:type="dxa" w:w="4176"/>
            <w:tcMar>
              <w:top w:w="45" w:type="dxa"/>
              <w:start w:w="50" w:type="dxa"/>
              <w:bottom w:w="45" w:type="dxa"/>
              <w:end w:w="50" w:type="dxa"/>
            </w:tcMar>
          </w:tcPr>
          <w:p>
            <w:pPr>
              <w:spacing w:after="0"/>
            </w:pPr>
            <w:r>
              <w:rPr>
                <w:rFonts w:ascii="Arial" w:hAnsi="Arial"/>
                <w:b w:val="0"/>
                <w:sz w:val="16"/>
              </w:rPr>
              <w:t>Mechanical starter power available to the N2 spool during engine start.</w:t>
            </w:r>
          </w:p>
        </w:tc>
        <w:tc>
          <w:tcPr>
            <w:tcW w:type="dxa" w:w="1152"/>
            <w:tcMar>
              <w:top w:w="45" w:type="dxa"/>
              <w:start w:w="50" w:type="dxa"/>
              <w:bottom w:w="45" w:type="dxa"/>
              <w:end w:w="50" w:type="dxa"/>
            </w:tcMar>
          </w:tcPr>
          <w:p>
            <w:pPr>
              <w:spacing w:after="0"/>
            </w:pPr>
            <w:r>
              <w:rPr>
                <w:rFonts w:ascii="Arial" w:hAnsi="Arial"/>
                <w:b w:val="0"/>
                <w:sz w:val="16"/>
              </w:rPr>
              <w:t>300 kW</w:t>
            </w:r>
          </w:p>
        </w:tc>
        <w:tc>
          <w:tcPr>
            <w:tcW w:type="dxa" w:w="1800"/>
            <w:tcMar>
              <w:top w:w="45" w:type="dxa"/>
              <w:start w:w="50" w:type="dxa"/>
              <w:bottom w:w="45" w:type="dxa"/>
              <w:end w:w="50" w:type="dxa"/>
            </w:tcMar>
          </w:tcPr>
          <w:p>
            <w:pPr>
              <w:spacing w:after="0"/>
            </w:pPr>
            <w:r>
              <w:rPr>
                <w:rFonts w:ascii="Arial" w:hAnsi="Arial"/>
                <w:b w:val="0"/>
                <w:sz w:val="16"/>
              </w:rPr>
              <w:t>50 to 300 kW</w:t>
            </w:r>
          </w:p>
        </w:tc>
        <w:tc>
          <w:tcPr>
            <w:tcW w:type="dxa" w:w="1080"/>
            <w:tcMar>
              <w:top w:w="45" w:type="dxa"/>
              <w:start w:w="50" w:type="dxa"/>
              <w:bottom w:w="45" w:type="dxa"/>
              <w:end w:w="50" w:type="dxa"/>
            </w:tcMar>
          </w:tcPr>
          <w:p>
            <w:pPr>
              <w:spacing w:after="0"/>
            </w:pPr>
            <w:r>
              <w:rPr>
                <w:rFonts w:ascii="Arial" w:hAnsi="Arial"/>
                <w:b w:val="0"/>
                <w:sz w:val="16"/>
              </w:rPr>
              <w:t>5 kW</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starter torque limit</w:t>
            </w:r>
          </w:p>
        </w:tc>
        <w:tc>
          <w:tcPr>
            <w:tcW w:type="dxa" w:w="4176"/>
            <w:tcMar>
              <w:top w:w="45" w:type="dxa"/>
              <w:start w:w="50" w:type="dxa"/>
              <w:bottom w:w="45" w:type="dxa"/>
              <w:end w:w="50" w:type="dxa"/>
            </w:tcMar>
          </w:tcPr>
          <w:p>
            <w:pPr>
              <w:spacing w:after="0"/>
            </w:pPr>
            <w:r>
              <w:rPr>
                <w:rFonts w:ascii="Arial" w:hAnsi="Arial"/>
                <w:b w:val="0"/>
                <w:sz w:val="16"/>
              </w:rPr>
              <w:t>Maximum starter torque that may be applied to the N2 spool; caps starter torque even when the power command would imply more.</w:t>
            </w:r>
          </w:p>
        </w:tc>
        <w:tc>
          <w:tcPr>
            <w:tcW w:type="dxa" w:w="1152"/>
            <w:tcMar>
              <w:top w:w="45" w:type="dxa"/>
              <w:start w:w="50" w:type="dxa"/>
              <w:bottom w:w="45" w:type="dxa"/>
              <w:end w:w="50" w:type="dxa"/>
            </w:tcMar>
          </w:tcPr>
          <w:p>
            <w:pPr>
              <w:spacing w:after="0"/>
            </w:pPr>
            <w:r>
              <w:rPr>
                <w:rFonts w:ascii="Arial" w:hAnsi="Arial"/>
                <w:b w:val="0"/>
                <w:sz w:val="16"/>
              </w:rPr>
              <w:t>550 N m</w:t>
            </w:r>
          </w:p>
        </w:tc>
        <w:tc>
          <w:tcPr>
            <w:tcW w:type="dxa" w:w="1800"/>
            <w:tcMar>
              <w:top w:w="45" w:type="dxa"/>
              <w:start w:w="50" w:type="dxa"/>
              <w:bottom w:w="45" w:type="dxa"/>
              <w:end w:w="50" w:type="dxa"/>
            </w:tcMar>
          </w:tcPr>
          <w:p>
            <w:pPr>
              <w:spacing w:after="0"/>
            </w:pPr>
            <w:r>
              <w:rPr>
                <w:rFonts w:ascii="Arial" w:hAnsi="Arial"/>
                <w:b w:val="0"/>
                <w:sz w:val="16"/>
              </w:rPr>
              <w:t>100 to 1,200 N m</w:t>
            </w:r>
          </w:p>
        </w:tc>
        <w:tc>
          <w:tcPr>
            <w:tcW w:type="dxa" w:w="1080"/>
            <w:tcMar>
              <w:top w:w="45" w:type="dxa"/>
              <w:start w:w="50" w:type="dxa"/>
              <w:bottom w:w="45" w:type="dxa"/>
              <w:end w:w="50" w:type="dxa"/>
            </w:tcMar>
          </w:tcPr>
          <w:p>
            <w:pPr>
              <w:spacing w:after="0"/>
            </w:pPr>
            <w:r>
              <w:rPr>
                <w:rFonts w:ascii="Arial" w:hAnsi="Arial"/>
                <w:b w:val="0"/>
                <w:sz w:val="16"/>
              </w:rPr>
              <w:t>10 N m</w:t>
            </w:r>
          </w:p>
        </w:tc>
      </w:tr>
    </w:tbl>
    <w:p>
      <w:pPr>
        <w:spacing w:after="40"/>
      </w:pPr>
    </w:p>
    <w:p>
      <w:pPr>
        <w:keepNext/>
        <w:spacing w:before="200" w:after="100"/>
      </w:pPr>
      <w:r>
        <w:rPr>
          <w:rFonts w:ascii="Arial" w:hAnsi="Arial"/>
          <w:b/>
          <w:color w:val="1F5F8B"/>
          <w:sz w:val="24"/>
        </w:rPr>
        <w:t>Fuel / N2 PID</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Idle feed-forward FAR</w:t>
            </w:r>
          </w:p>
        </w:tc>
        <w:tc>
          <w:tcPr>
            <w:tcW w:type="dxa" w:w="4176"/>
            <w:tcMar>
              <w:top w:w="45" w:type="dxa"/>
              <w:start w:w="50" w:type="dxa"/>
              <w:bottom w:w="45" w:type="dxa"/>
              <w:end w:w="50" w:type="dxa"/>
            </w:tcMar>
          </w:tcPr>
          <w:p>
            <w:pPr>
              <w:spacing w:after="0"/>
            </w:pPr>
            <w:r>
              <w:rPr>
                <w:rFonts w:ascii="Arial" w:hAnsi="Arial"/>
                <w:b w:val="0"/>
                <w:sz w:val="16"/>
              </w:rPr>
              <w:t>Feed-forward fuel/air-ratio anchor used near idle before PID correction is added.</w:t>
            </w:r>
          </w:p>
        </w:tc>
        <w:tc>
          <w:tcPr>
            <w:tcW w:type="dxa" w:w="1152"/>
            <w:tcMar>
              <w:top w:w="45" w:type="dxa"/>
              <w:start w:w="50" w:type="dxa"/>
              <w:bottom w:w="45" w:type="dxa"/>
              <w:end w:w="50" w:type="dxa"/>
            </w:tcMar>
          </w:tcPr>
          <w:p>
            <w:pPr>
              <w:spacing w:after="0"/>
            </w:pPr>
            <w:r>
              <w:rPr>
                <w:rFonts w:ascii="Arial" w:hAnsi="Arial"/>
                <w:b w:val="0"/>
                <w:sz w:val="16"/>
              </w:rPr>
              <w:t>0.0148 F/A</w:t>
            </w:r>
          </w:p>
        </w:tc>
        <w:tc>
          <w:tcPr>
            <w:tcW w:type="dxa" w:w="1800"/>
            <w:tcMar>
              <w:top w:w="45" w:type="dxa"/>
              <w:start w:w="50" w:type="dxa"/>
              <w:bottom w:w="45" w:type="dxa"/>
              <w:end w:w="50" w:type="dxa"/>
            </w:tcMar>
          </w:tcPr>
          <w:p>
            <w:pPr>
              <w:spacing w:after="0"/>
            </w:pPr>
            <w:r>
              <w:rPr>
                <w:rFonts w:ascii="Arial" w:hAnsi="Arial"/>
                <w:b w:val="0"/>
                <w:sz w:val="16"/>
              </w:rPr>
              <w:t>0.001 to 0.03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Intermediate feed-forward N2</w:t>
            </w:r>
          </w:p>
        </w:tc>
        <w:tc>
          <w:tcPr>
            <w:tcW w:type="dxa" w:w="4176"/>
            <w:tcMar>
              <w:top w:w="45" w:type="dxa"/>
              <w:start w:w="50" w:type="dxa"/>
              <w:bottom w:w="45" w:type="dxa"/>
              <w:end w:w="50" w:type="dxa"/>
            </w:tcMar>
          </w:tcPr>
          <w:p>
            <w:pPr>
              <w:spacing w:after="0"/>
            </w:pPr>
            <w:r>
              <w:rPr>
                <w:rFonts w:ascii="Arial" w:hAnsi="Arial"/>
                <w:b w:val="0"/>
                <w:sz w:val="16"/>
              </w:rPr>
              <w:t>N2 location of the intermediate feed-forward anchor in the low-to-high power fuel schedule.</w:t>
            </w:r>
          </w:p>
        </w:tc>
        <w:tc>
          <w:tcPr>
            <w:tcW w:type="dxa" w:w="1152"/>
            <w:tcMar>
              <w:top w:w="45" w:type="dxa"/>
              <w:start w:w="50" w:type="dxa"/>
              <w:bottom w:w="45" w:type="dxa"/>
              <w:end w:w="50" w:type="dxa"/>
            </w:tcMar>
          </w:tcPr>
          <w:p>
            <w:pPr>
              <w:spacing w:after="0"/>
            </w:pPr>
            <w:r>
              <w:rPr>
                <w:rFonts w:ascii="Arial" w:hAnsi="Arial"/>
                <w:b w:val="0"/>
                <w:sz w:val="16"/>
              </w:rPr>
              <w:t>70 %</w:t>
            </w:r>
          </w:p>
        </w:tc>
        <w:tc>
          <w:tcPr>
            <w:tcW w:type="dxa" w:w="1800"/>
            <w:tcMar>
              <w:top w:w="45" w:type="dxa"/>
              <w:start w:w="50" w:type="dxa"/>
              <w:bottom w:w="45" w:type="dxa"/>
              <w:end w:w="50" w:type="dxa"/>
            </w:tcMar>
          </w:tcPr>
          <w:p>
            <w:pPr>
              <w:spacing w:after="0"/>
            </w:pPr>
            <w:r>
              <w:rPr>
                <w:rFonts w:ascii="Arial" w:hAnsi="Arial"/>
                <w:b w:val="0"/>
                <w:sz w:val="16"/>
              </w:rPr>
              <w:t>61 to 99 %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Intermediate feed-forward FAR</w:t>
            </w:r>
          </w:p>
        </w:tc>
        <w:tc>
          <w:tcPr>
            <w:tcW w:type="dxa" w:w="4176"/>
            <w:tcMar>
              <w:top w:w="45" w:type="dxa"/>
              <w:start w:w="50" w:type="dxa"/>
              <w:bottom w:w="45" w:type="dxa"/>
              <w:end w:w="50" w:type="dxa"/>
            </w:tcMar>
          </w:tcPr>
          <w:p>
            <w:pPr>
              <w:spacing w:after="0"/>
            </w:pPr>
            <w:r>
              <w:rPr>
                <w:rFonts w:ascii="Arial" w:hAnsi="Arial"/>
                <w:b w:val="0"/>
                <w:sz w:val="16"/>
              </w:rPr>
              <w:t>Feed-forward FAR assigned to the intermediate N2 anchor; shapes the schedule between idle and full power.</w:t>
            </w:r>
          </w:p>
        </w:tc>
        <w:tc>
          <w:tcPr>
            <w:tcW w:type="dxa" w:w="1152"/>
            <w:tcMar>
              <w:top w:w="45" w:type="dxa"/>
              <w:start w:w="50" w:type="dxa"/>
              <w:bottom w:w="45" w:type="dxa"/>
              <w:end w:w="50" w:type="dxa"/>
            </w:tcMar>
          </w:tcPr>
          <w:p>
            <w:pPr>
              <w:spacing w:after="0"/>
            </w:pPr>
            <w:r>
              <w:rPr>
                <w:rFonts w:ascii="Arial" w:hAnsi="Arial"/>
                <w:b w:val="0"/>
                <w:sz w:val="16"/>
              </w:rPr>
              <w:t>0.01545 F/A</w:t>
            </w:r>
          </w:p>
        </w:tc>
        <w:tc>
          <w:tcPr>
            <w:tcW w:type="dxa" w:w="1800"/>
            <w:tcMar>
              <w:top w:w="45" w:type="dxa"/>
              <w:start w:w="50" w:type="dxa"/>
              <w:bottom w:w="45" w:type="dxa"/>
              <w:end w:w="50" w:type="dxa"/>
            </w:tcMar>
          </w:tcPr>
          <w:p>
            <w:pPr>
              <w:spacing w:after="0"/>
            </w:pPr>
            <w:r>
              <w:rPr>
                <w:rFonts w:ascii="Arial" w:hAnsi="Arial"/>
                <w:b w:val="0"/>
                <w:sz w:val="16"/>
              </w:rPr>
              <w:t>0.001 to 0.04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Full-power feed-forward FAR</w:t>
            </w:r>
          </w:p>
        </w:tc>
        <w:tc>
          <w:tcPr>
            <w:tcW w:type="dxa" w:w="4176"/>
            <w:tcMar>
              <w:top w:w="45" w:type="dxa"/>
              <w:start w:w="50" w:type="dxa"/>
              <w:bottom w:w="45" w:type="dxa"/>
              <w:end w:w="50" w:type="dxa"/>
            </w:tcMar>
          </w:tcPr>
          <w:p>
            <w:pPr>
              <w:spacing w:after="0"/>
            </w:pPr>
            <w:r>
              <w:rPr>
                <w:rFonts w:ascii="Arial" w:hAnsi="Arial"/>
                <w:b w:val="0"/>
                <w:sz w:val="16"/>
              </w:rPr>
              <w:t>Feed-forward FAR anchor used at the full-power end of the forward-throttle schedule.</w:t>
            </w:r>
          </w:p>
        </w:tc>
        <w:tc>
          <w:tcPr>
            <w:tcW w:type="dxa" w:w="1152"/>
            <w:tcMar>
              <w:top w:w="45" w:type="dxa"/>
              <w:start w:w="50" w:type="dxa"/>
              <w:bottom w:w="45" w:type="dxa"/>
              <w:end w:w="50" w:type="dxa"/>
            </w:tcMar>
          </w:tcPr>
          <w:p>
            <w:pPr>
              <w:spacing w:after="0"/>
            </w:pPr>
            <w:r>
              <w:rPr>
                <w:rFonts w:ascii="Arial" w:hAnsi="Arial"/>
                <w:b w:val="0"/>
                <w:sz w:val="16"/>
              </w:rPr>
              <w:t>0.0247 F/A</w:t>
            </w:r>
          </w:p>
        </w:tc>
        <w:tc>
          <w:tcPr>
            <w:tcW w:type="dxa" w:w="1800"/>
            <w:tcMar>
              <w:top w:w="45" w:type="dxa"/>
              <w:start w:w="50" w:type="dxa"/>
              <w:bottom w:w="45" w:type="dxa"/>
              <w:end w:w="50" w:type="dxa"/>
            </w:tcMar>
          </w:tcPr>
          <w:p>
            <w:pPr>
              <w:spacing w:after="0"/>
            </w:pPr>
            <w:r>
              <w:rPr>
                <w:rFonts w:ascii="Arial" w:hAnsi="Arial"/>
                <w:b w:val="0"/>
                <w:sz w:val="16"/>
              </w:rPr>
              <w:t>0.005 to 0.04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Lightoff FAR boost</w:t>
            </w:r>
          </w:p>
        </w:tc>
        <w:tc>
          <w:tcPr>
            <w:tcW w:type="dxa" w:w="4176"/>
            <w:tcMar>
              <w:top w:w="45" w:type="dxa"/>
              <w:start w:w="50" w:type="dxa"/>
              <w:bottom w:w="45" w:type="dxa"/>
              <w:end w:w="50" w:type="dxa"/>
            </w:tcMar>
          </w:tcPr>
          <w:p>
            <w:pPr>
              <w:spacing w:after="0"/>
            </w:pPr>
            <w:r>
              <w:rPr>
                <w:rFonts w:ascii="Arial" w:hAnsi="Arial"/>
                <w:b w:val="0"/>
                <w:sz w:val="16"/>
              </w:rPr>
              <w:t>Additional FAR applied at lightoff to support start combustion; it fades as N2 approaches the idle target.</w:t>
            </w:r>
          </w:p>
        </w:tc>
        <w:tc>
          <w:tcPr>
            <w:tcW w:type="dxa" w:w="1152"/>
            <w:tcMar>
              <w:top w:w="45" w:type="dxa"/>
              <w:start w:w="50" w:type="dxa"/>
              <w:bottom w:w="45" w:type="dxa"/>
              <w:end w:w="50" w:type="dxa"/>
            </w:tcMar>
          </w:tcPr>
          <w:p>
            <w:pPr>
              <w:spacing w:after="0"/>
            </w:pPr>
            <w:r>
              <w:rPr>
                <w:rFonts w:ascii="Arial" w:hAnsi="Arial"/>
                <w:b w:val="0"/>
                <w:sz w:val="16"/>
              </w:rPr>
              <w:t>0.0032 F/A</w:t>
            </w:r>
          </w:p>
        </w:tc>
        <w:tc>
          <w:tcPr>
            <w:tcW w:type="dxa" w:w="1800"/>
            <w:tcMar>
              <w:top w:w="45" w:type="dxa"/>
              <w:start w:w="50" w:type="dxa"/>
              <w:bottom w:w="45" w:type="dxa"/>
              <w:end w:w="50" w:type="dxa"/>
            </w:tcMar>
          </w:tcPr>
          <w:p>
            <w:pPr>
              <w:spacing w:after="0"/>
            </w:pPr>
            <w:r>
              <w:rPr>
                <w:rFonts w:ascii="Arial" w:hAnsi="Arial"/>
                <w:b w:val="0"/>
                <w:sz w:val="16"/>
              </w:rPr>
              <w:t>0 to 0.03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FAR</w:t>
            </w:r>
          </w:p>
        </w:tc>
        <w:tc>
          <w:tcPr>
            <w:tcW w:type="dxa" w:w="4176"/>
            <w:tcMar>
              <w:top w:w="45" w:type="dxa"/>
              <w:start w:w="50" w:type="dxa"/>
              <w:bottom w:w="45" w:type="dxa"/>
              <w:end w:w="50" w:type="dxa"/>
            </w:tcMar>
          </w:tcPr>
          <w:p>
            <w:pPr>
              <w:spacing w:after="0"/>
            </w:pPr>
            <w:r>
              <w:rPr>
                <w:rFonts w:ascii="Arial" w:hAnsi="Arial"/>
                <w:b w:val="0"/>
                <w:sz w:val="16"/>
              </w:rPr>
              <w:t>Absolute upper clamp on commanded fuel/air ratio.</w:t>
            </w:r>
          </w:p>
        </w:tc>
        <w:tc>
          <w:tcPr>
            <w:tcW w:type="dxa" w:w="1152"/>
            <w:tcMar>
              <w:top w:w="45" w:type="dxa"/>
              <w:start w:w="50" w:type="dxa"/>
              <w:bottom w:w="45" w:type="dxa"/>
              <w:end w:w="50" w:type="dxa"/>
            </w:tcMar>
          </w:tcPr>
          <w:p>
            <w:pPr>
              <w:spacing w:after="0"/>
            </w:pPr>
            <w:r>
              <w:rPr>
                <w:rFonts w:ascii="Arial" w:hAnsi="Arial"/>
                <w:b w:val="0"/>
                <w:sz w:val="16"/>
              </w:rPr>
              <w:t>0.04 F/A</w:t>
            </w:r>
          </w:p>
        </w:tc>
        <w:tc>
          <w:tcPr>
            <w:tcW w:type="dxa" w:w="1800"/>
            <w:tcMar>
              <w:top w:w="45" w:type="dxa"/>
              <w:start w:w="50" w:type="dxa"/>
              <w:bottom w:w="45" w:type="dxa"/>
              <w:end w:w="50" w:type="dxa"/>
            </w:tcMar>
          </w:tcPr>
          <w:p>
            <w:pPr>
              <w:spacing w:after="0"/>
            </w:pPr>
            <w:r>
              <w:rPr>
                <w:rFonts w:ascii="Arial" w:hAnsi="Arial"/>
                <w:b w:val="0"/>
                <w:sz w:val="16"/>
              </w:rPr>
              <w:t>0.01 to 0.06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PID Kp</w:t>
            </w:r>
          </w:p>
        </w:tc>
        <w:tc>
          <w:tcPr>
            <w:tcW w:type="dxa" w:w="4176"/>
            <w:tcMar>
              <w:top w:w="45" w:type="dxa"/>
              <w:start w:w="50" w:type="dxa"/>
              <w:bottom w:w="45" w:type="dxa"/>
              <w:end w:w="50" w:type="dxa"/>
            </w:tcMar>
          </w:tcPr>
          <w:p>
            <w:pPr>
              <w:spacing w:after="0"/>
            </w:pPr>
            <w:r>
              <w:rPr>
                <w:rFonts w:ascii="Arial" w:hAnsi="Arial"/>
                <w:b w:val="0"/>
                <w:sz w:val="16"/>
              </w:rPr>
              <w:t>Proportional N2 control gain that converts instantaneous N2 error into a FAR correction.</w:t>
            </w:r>
          </w:p>
        </w:tc>
        <w:tc>
          <w:tcPr>
            <w:tcW w:type="dxa" w:w="1152"/>
            <w:tcMar>
              <w:top w:w="45" w:type="dxa"/>
              <w:start w:w="50" w:type="dxa"/>
              <w:bottom w:w="45" w:type="dxa"/>
              <w:end w:w="50" w:type="dxa"/>
            </w:tcMar>
          </w:tcPr>
          <w:p>
            <w:pPr>
              <w:spacing w:after="0"/>
            </w:pPr>
            <w:r>
              <w:rPr>
                <w:rFonts w:ascii="Arial" w:hAnsi="Arial"/>
                <w:b w:val="0"/>
                <w:sz w:val="16"/>
              </w:rPr>
              <w:t>0.00028 FAR/%</w:t>
            </w:r>
          </w:p>
        </w:tc>
        <w:tc>
          <w:tcPr>
            <w:tcW w:type="dxa" w:w="1800"/>
            <w:tcMar>
              <w:top w:w="45" w:type="dxa"/>
              <w:start w:w="50" w:type="dxa"/>
              <w:bottom w:w="45" w:type="dxa"/>
              <w:end w:w="50" w:type="dxa"/>
            </w:tcMar>
          </w:tcPr>
          <w:p>
            <w:pPr>
              <w:spacing w:after="0"/>
            </w:pPr>
            <w:r>
              <w:rPr>
                <w:rFonts w:ascii="Arial" w:hAnsi="Arial"/>
                <w:b w:val="0"/>
                <w:sz w:val="16"/>
              </w:rPr>
              <w:t>0 to 0.0015 FAR/%</w:t>
            </w:r>
          </w:p>
        </w:tc>
        <w:tc>
          <w:tcPr>
            <w:tcW w:type="dxa" w:w="1080"/>
            <w:tcMar>
              <w:top w:w="45" w:type="dxa"/>
              <w:start w:w="50" w:type="dxa"/>
              <w:bottom w:w="45" w:type="dxa"/>
              <w:end w:w="50" w:type="dxa"/>
            </w:tcMar>
          </w:tcPr>
          <w:p>
            <w:pPr>
              <w:spacing w:after="0"/>
            </w:pPr>
            <w:r>
              <w:rPr>
                <w:rFonts w:ascii="Arial" w:hAnsi="Arial"/>
                <w:b w:val="0"/>
                <w:sz w:val="16"/>
              </w:rPr>
              <w:t>5e-06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PID Ki</w:t>
            </w:r>
          </w:p>
        </w:tc>
        <w:tc>
          <w:tcPr>
            <w:tcW w:type="dxa" w:w="4176"/>
            <w:tcMar>
              <w:top w:w="45" w:type="dxa"/>
              <w:start w:w="50" w:type="dxa"/>
              <w:bottom w:w="45" w:type="dxa"/>
              <w:end w:w="50" w:type="dxa"/>
            </w:tcMar>
          </w:tcPr>
          <w:p>
            <w:pPr>
              <w:spacing w:after="0"/>
            </w:pPr>
            <w:r>
              <w:rPr>
                <w:rFonts w:ascii="Arial" w:hAnsi="Arial"/>
                <w:b w:val="0"/>
                <w:sz w:val="16"/>
              </w:rPr>
              <w:t>Integral N2 control gain that accumulates persistent N2 error into a FAR correction over time.</w:t>
            </w:r>
          </w:p>
        </w:tc>
        <w:tc>
          <w:tcPr>
            <w:tcW w:type="dxa" w:w="1152"/>
            <w:tcMar>
              <w:top w:w="45" w:type="dxa"/>
              <w:start w:w="50" w:type="dxa"/>
              <w:bottom w:w="45" w:type="dxa"/>
              <w:end w:w="50" w:type="dxa"/>
            </w:tcMar>
          </w:tcPr>
          <w:p>
            <w:pPr>
              <w:spacing w:after="0"/>
            </w:pPr>
            <w:r>
              <w:rPr>
                <w:rFonts w:ascii="Arial" w:hAnsi="Arial"/>
                <w:b w:val="0"/>
                <w:sz w:val="16"/>
              </w:rPr>
              <w:t>4e-05 FAR/%/s</w:t>
            </w:r>
          </w:p>
        </w:tc>
        <w:tc>
          <w:tcPr>
            <w:tcW w:type="dxa" w:w="1800"/>
            <w:tcMar>
              <w:top w:w="45" w:type="dxa"/>
              <w:start w:w="50" w:type="dxa"/>
              <w:bottom w:w="45" w:type="dxa"/>
              <w:end w:w="50" w:type="dxa"/>
            </w:tcMar>
          </w:tcPr>
          <w:p>
            <w:pPr>
              <w:spacing w:after="0"/>
            </w:pPr>
            <w:r>
              <w:rPr>
                <w:rFonts w:ascii="Arial" w:hAnsi="Arial"/>
                <w:b w:val="0"/>
                <w:sz w:val="16"/>
              </w:rPr>
              <w:t>0 to 0.0002 FAR/%/s</w:t>
            </w:r>
          </w:p>
        </w:tc>
        <w:tc>
          <w:tcPr>
            <w:tcW w:type="dxa" w:w="1080"/>
            <w:tcMar>
              <w:top w:w="45" w:type="dxa"/>
              <w:start w:w="50" w:type="dxa"/>
              <w:bottom w:w="45" w:type="dxa"/>
              <w:end w:w="50" w:type="dxa"/>
            </w:tcMar>
          </w:tcPr>
          <w:p>
            <w:pPr>
              <w:spacing w:after="0"/>
            </w:pPr>
            <w:r>
              <w:rPr>
                <w:rFonts w:ascii="Arial" w:hAnsi="Arial"/>
                <w:b w:val="0"/>
                <w:sz w:val="16"/>
              </w:rPr>
              <w:t>1e-06 FAR/%/s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PID Kd</w:t>
            </w:r>
          </w:p>
        </w:tc>
        <w:tc>
          <w:tcPr>
            <w:tcW w:type="dxa" w:w="4176"/>
            <w:tcMar>
              <w:top w:w="45" w:type="dxa"/>
              <w:start w:w="50" w:type="dxa"/>
              <w:bottom w:w="45" w:type="dxa"/>
              <w:end w:w="50" w:type="dxa"/>
            </w:tcMar>
          </w:tcPr>
          <w:p>
            <w:pPr>
              <w:spacing w:after="0"/>
            </w:pPr>
            <w:r>
              <w:rPr>
                <w:rFonts w:ascii="Arial" w:hAnsi="Arial"/>
                <w:b w:val="0"/>
                <w:sz w:val="16"/>
              </w:rPr>
              <w:t>Derivative-on-measurement N2 gain that adds damping from measured N2 rate of change.</w:t>
            </w:r>
          </w:p>
        </w:tc>
        <w:tc>
          <w:tcPr>
            <w:tcW w:type="dxa" w:w="1152"/>
            <w:tcMar>
              <w:top w:w="45" w:type="dxa"/>
              <w:start w:w="50" w:type="dxa"/>
              <w:bottom w:w="45" w:type="dxa"/>
              <w:end w:w="50" w:type="dxa"/>
            </w:tcMar>
          </w:tcPr>
          <w:p>
            <w:pPr>
              <w:spacing w:after="0"/>
            </w:pPr>
            <w:r>
              <w:rPr>
                <w:rFonts w:ascii="Arial" w:hAnsi="Arial"/>
                <w:b w:val="0"/>
                <w:sz w:val="16"/>
              </w:rPr>
              <w:t>3e-05 FAR s/%</w:t>
            </w:r>
          </w:p>
        </w:tc>
        <w:tc>
          <w:tcPr>
            <w:tcW w:type="dxa" w:w="1800"/>
            <w:tcMar>
              <w:top w:w="45" w:type="dxa"/>
              <w:start w:w="50" w:type="dxa"/>
              <w:bottom w:w="45" w:type="dxa"/>
              <w:end w:w="50" w:type="dxa"/>
            </w:tcMar>
          </w:tcPr>
          <w:p>
            <w:pPr>
              <w:spacing w:after="0"/>
            </w:pPr>
            <w:r>
              <w:rPr>
                <w:rFonts w:ascii="Arial" w:hAnsi="Arial"/>
                <w:b w:val="0"/>
                <w:sz w:val="16"/>
              </w:rPr>
              <w:t>0 to 0.0003 FAR s/%</w:t>
            </w:r>
          </w:p>
        </w:tc>
        <w:tc>
          <w:tcPr>
            <w:tcW w:type="dxa" w:w="1080"/>
            <w:tcMar>
              <w:top w:w="45" w:type="dxa"/>
              <w:start w:w="50" w:type="dxa"/>
              <w:bottom w:w="45" w:type="dxa"/>
              <w:end w:w="50" w:type="dxa"/>
            </w:tcMar>
          </w:tcPr>
          <w:p>
            <w:pPr>
              <w:spacing w:after="0"/>
            </w:pPr>
            <w:r>
              <w:rPr>
                <w:rFonts w:ascii="Arial" w:hAnsi="Arial"/>
                <w:b w:val="0"/>
                <w:sz w:val="16"/>
              </w:rPr>
              <w:t>5e-06 FAR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derivative filter</w:t>
            </w:r>
          </w:p>
        </w:tc>
        <w:tc>
          <w:tcPr>
            <w:tcW w:type="dxa" w:w="4176"/>
            <w:tcMar>
              <w:top w:w="45" w:type="dxa"/>
              <w:start w:w="50" w:type="dxa"/>
              <w:bottom w:w="45" w:type="dxa"/>
              <w:end w:w="50" w:type="dxa"/>
            </w:tcMar>
          </w:tcPr>
          <w:p>
            <w:pPr>
              <w:spacing w:after="0"/>
            </w:pPr>
            <w:r>
              <w:rPr>
                <w:rFonts w:ascii="Arial" w:hAnsi="Arial"/>
                <w:b w:val="0"/>
                <w:sz w:val="16"/>
              </w:rPr>
              <w:t>Time constant for the filtered N2-rate signal used by the derivative term; larger values provide more smoothing.</w:t>
            </w:r>
          </w:p>
        </w:tc>
        <w:tc>
          <w:tcPr>
            <w:tcW w:type="dxa" w:w="1152"/>
            <w:tcMar>
              <w:top w:w="45" w:type="dxa"/>
              <w:start w:w="50" w:type="dxa"/>
              <w:bottom w:w="45" w:type="dxa"/>
              <w:end w:w="50" w:type="dxa"/>
            </w:tcMar>
          </w:tcPr>
          <w:p>
            <w:pPr>
              <w:spacing w:after="0"/>
            </w:pPr>
            <w:r>
              <w:rPr>
                <w:rFonts w:ascii="Arial" w:hAnsi="Arial"/>
                <w:b w:val="0"/>
                <w:sz w:val="16"/>
              </w:rPr>
              <w:t>0.15 s</w:t>
            </w:r>
          </w:p>
        </w:tc>
        <w:tc>
          <w:tcPr>
            <w:tcW w:type="dxa" w:w="1800"/>
            <w:tcMar>
              <w:top w:w="45" w:type="dxa"/>
              <w:start w:w="50" w:type="dxa"/>
              <w:bottom w:w="45" w:type="dxa"/>
              <w:end w:w="50" w:type="dxa"/>
            </w:tcMar>
          </w:tcPr>
          <w:p>
            <w:pPr>
              <w:spacing w:after="0"/>
            </w:pPr>
            <w:r>
              <w:rPr>
                <w:rFonts w:ascii="Arial" w:hAnsi="Arial"/>
                <w:b w:val="0"/>
                <w:sz w:val="16"/>
              </w:rPr>
              <w:t>0 to 1 s</w:t>
            </w:r>
          </w:p>
        </w:tc>
        <w:tc>
          <w:tcPr>
            <w:tcW w:type="dxa" w:w="1080"/>
            <w:tcMar>
              <w:top w:w="45" w:type="dxa"/>
              <w:start w:w="50" w:type="dxa"/>
              <w:bottom w:w="45" w:type="dxa"/>
              <w:end w:w="50" w:type="dxa"/>
            </w:tcMar>
          </w:tcPr>
          <w:p>
            <w:pPr>
              <w:spacing w:after="0"/>
            </w:pPr>
            <w:r>
              <w:rPr>
                <w:rFonts w:ascii="Arial" w:hAnsi="Arial"/>
                <w:b w:val="0"/>
                <w:sz w:val="16"/>
              </w:rPr>
              <w:t>0.01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Integral minimum</w:t>
            </w:r>
          </w:p>
        </w:tc>
        <w:tc>
          <w:tcPr>
            <w:tcW w:type="dxa" w:w="4176"/>
            <w:tcMar>
              <w:top w:w="45" w:type="dxa"/>
              <w:start w:w="50" w:type="dxa"/>
              <w:bottom w:w="45" w:type="dxa"/>
              <w:end w:w="50" w:type="dxa"/>
            </w:tcMar>
          </w:tcPr>
          <w:p>
            <w:pPr>
              <w:spacing w:after="0"/>
            </w:pPr>
            <w:r>
              <w:rPr>
                <w:rFonts w:ascii="Arial" w:hAnsi="Arial"/>
                <w:b w:val="0"/>
                <w:sz w:val="16"/>
              </w:rPr>
              <w:t>Lower bound on the N2 PID integral contribution in FAR units.</w:t>
            </w:r>
          </w:p>
        </w:tc>
        <w:tc>
          <w:tcPr>
            <w:tcW w:type="dxa" w:w="1152"/>
            <w:tcMar>
              <w:top w:w="45" w:type="dxa"/>
              <w:start w:w="50" w:type="dxa"/>
              <w:bottom w:w="45" w:type="dxa"/>
              <w:end w:w="50" w:type="dxa"/>
            </w:tcMar>
          </w:tcPr>
          <w:p>
            <w:pPr>
              <w:spacing w:after="0"/>
            </w:pPr>
            <w:r>
              <w:rPr>
                <w:rFonts w:ascii="Arial" w:hAnsi="Arial"/>
                <w:b w:val="0"/>
                <w:sz w:val="16"/>
              </w:rPr>
              <w:t>-0.02 FAR</w:t>
            </w:r>
          </w:p>
        </w:tc>
        <w:tc>
          <w:tcPr>
            <w:tcW w:type="dxa" w:w="1800"/>
            <w:tcMar>
              <w:top w:w="45" w:type="dxa"/>
              <w:start w:w="50" w:type="dxa"/>
              <w:bottom w:w="45" w:type="dxa"/>
              <w:end w:w="50" w:type="dxa"/>
            </w:tcMar>
          </w:tcPr>
          <w:p>
            <w:pPr>
              <w:spacing w:after="0"/>
            </w:pPr>
            <w:r>
              <w:rPr>
                <w:rFonts w:ascii="Arial" w:hAnsi="Arial"/>
                <w:b w:val="0"/>
                <w:sz w:val="16"/>
              </w:rPr>
              <w:t>-0.04 to 0 FAR</w:t>
            </w:r>
          </w:p>
        </w:tc>
        <w:tc>
          <w:tcPr>
            <w:tcW w:type="dxa" w:w="1080"/>
            <w:tcMar>
              <w:top w:w="45" w:type="dxa"/>
              <w:start w:w="50" w:type="dxa"/>
              <w:bottom w:w="45" w:type="dxa"/>
              <w:end w:w="50" w:type="dxa"/>
            </w:tcMar>
          </w:tcPr>
          <w:p>
            <w:pPr>
              <w:spacing w:after="0"/>
            </w:pPr>
            <w:r>
              <w:rPr>
                <w:rFonts w:ascii="Arial" w:hAnsi="Arial"/>
                <w:b w:val="0"/>
                <w:sz w:val="16"/>
              </w:rPr>
              <w:t>0.0005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Integral maximum</w:t>
            </w:r>
          </w:p>
        </w:tc>
        <w:tc>
          <w:tcPr>
            <w:tcW w:type="dxa" w:w="4176"/>
            <w:tcMar>
              <w:top w:w="45" w:type="dxa"/>
              <w:start w:w="50" w:type="dxa"/>
              <w:bottom w:w="45" w:type="dxa"/>
              <w:end w:w="50" w:type="dxa"/>
            </w:tcMar>
          </w:tcPr>
          <w:p>
            <w:pPr>
              <w:spacing w:after="0"/>
            </w:pPr>
            <w:r>
              <w:rPr>
                <w:rFonts w:ascii="Arial" w:hAnsi="Arial"/>
                <w:b w:val="0"/>
                <w:sz w:val="16"/>
              </w:rPr>
              <w:t>Upper bound on the N2 PID integral contribution in FAR units.</w:t>
            </w:r>
          </w:p>
        </w:tc>
        <w:tc>
          <w:tcPr>
            <w:tcW w:type="dxa" w:w="1152"/>
            <w:tcMar>
              <w:top w:w="45" w:type="dxa"/>
              <w:start w:w="50" w:type="dxa"/>
              <w:bottom w:w="45" w:type="dxa"/>
              <w:end w:w="50" w:type="dxa"/>
            </w:tcMar>
          </w:tcPr>
          <w:p>
            <w:pPr>
              <w:spacing w:after="0"/>
            </w:pPr>
            <w:r>
              <w:rPr>
                <w:rFonts w:ascii="Arial" w:hAnsi="Arial"/>
                <w:b w:val="0"/>
                <w:sz w:val="16"/>
              </w:rPr>
              <w:t>0.02 FAR</w:t>
            </w:r>
          </w:p>
        </w:tc>
        <w:tc>
          <w:tcPr>
            <w:tcW w:type="dxa" w:w="1800"/>
            <w:tcMar>
              <w:top w:w="45" w:type="dxa"/>
              <w:start w:w="50" w:type="dxa"/>
              <w:bottom w:w="45" w:type="dxa"/>
              <w:end w:w="50" w:type="dxa"/>
            </w:tcMar>
          </w:tcPr>
          <w:p>
            <w:pPr>
              <w:spacing w:after="0"/>
            </w:pPr>
            <w:r>
              <w:rPr>
                <w:rFonts w:ascii="Arial" w:hAnsi="Arial"/>
                <w:b w:val="0"/>
                <w:sz w:val="16"/>
              </w:rPr>
              <w:t>0 to 0.04 FAR</w:t>
            </w:r>
          </w:p>
        </w:tc>
        <w:tc>
          <w:tcPr>
            <w:tcW w:type="dxa" w:w="1080"/>
            <w:tcMar>
              <w:top w:w="45" w:type="dxa"/>
              <w:start w:w="50" w:type="dxa"/>
              <w:bottom w:w="45" w:type="dxa"/>
              <w:end w:w="50" w:type="dxa"/>
            </w:tcMar>
          </w:tcPr>
          <w:p>
            <w:pPr>
              <w:spacing w:after="0"/>
            </w:pPr>
            <w:r>
              <w:rPr>
                <w:rFonts w:ascii="Arial" w:hAnsi="Arial"/>
                <w:b w:val="0"/>
                <w:sz w:val="16"/>
              </w:rPr>
              <w:t>0.0005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Anti-windup gain</w:t>
            </w:r>
          </w:p>
        </w:tc>
        <w:tc>
          <w:tcPr>
            <w:tcW w:type="dxa" w:w="4176"/>
            <w:tcMar>
              <w:top w:w="45" w:type="dxa"/>
              <w:start w:w="50" w:type="dxa"/>
              <w:bottom w:w="45" w:type="dxa"/>
              <w:end w:w="50" w:type="dxa"/>
            </w:tcMar>
          </w:tcPr>
          <w:p>
            <w:pPr>
              <w:spacing w:after="0"/>
            </w:pPr>
            <w:r>
              <w:rPr>
                <w:rFonts w:ascii="Arial" w:hAnsi="Arial"/>
                <w:b w:val="0"/>
                <w:sz w:val="16"/>
              </w:rPr>
              <w:t>Back-calculation anti-windup gain that drives the integrator toward a deliverable FAR when another limiter is active.</w:t>
            </w:r>
          </w:p>
        </w:tc>
        <w:tc>
          <w:tcPr>
            <w:tcW w:type="dxa" w:w="1152"/>
            <w:tcMar>
              <w:top w:w="45" w:type="dxa"/>
              <w:start w:w="50" w:type="dxa"/>
              <w:bottom w:w="45" w:type="dxa"/>
              <w:end w:w="50" w:type="dxa"/>
            </w:tcMar>
          </w:tcPr>
          <w:p>
            <w:pPr>
              <w:spacing w:after="0"/>
            </w:pPr>
            <w:r>
              <w:rPr>
                <w:rFonts w:ascii="Arial" w:hAnsi="Arial"/>
                <w:b w:val="0"/>
                <w:sz w:val="16"/>
              </w:rPr>
              <w:t>4 1/s</w:t>
            </w:r>
          </w:p>
        </w:tc>
        <w:tc>
          <w:tcPr>
            <w:tcW w:type="dxa" w:w="1800"/>
            <w:tcMar>
              <w:top w:w="45" w:type="dxa"/>
              <w:start w:w="50" w:type="dxa"/>
              <w:bottom w:w="45" w:type="dxa"/>
              <w:end w:w="50" w:type="dxa"/>
            </w:tcMar>
          </w:tcPr>
          <w:p>
            <w:pPr>
              <w:spacing w:after="0"/>
            </w:pPr>
            <w:r>
              <w:rPr>
                <w:rFonts w:ascii="Arial" w:hAnsi="Arial"/>
                <w:b w:val="0"/>
                <w:sz w:val="16"/>
              </w:rPr>
              <w:t>0 to 20 1/s</w:t>
            </w:r>
          </w:p>
        </w:tc>
        <w:tc>
          <w:tcPr>
            <w:tcW w:type="dxa" w:w="1080"/>
            <w:tcMar>
              <w:top w:w="45" w:type="dxa"/>
              <w:start w:w="50" w:type="dxa"/>
              <w:bottom w:w="45" w:type="dxa"/>
              <w:end w:w="50" w:type="dxa"/>
            </w:tcMar>
          </w:tcPr>
          <w:p>
            <w:pPr>
              <w:spacing w:after="0"/>
            </w:pPr>
            <w:r>
              <w:rPr>
                <w:rFonts w:ascii="Arial" w:hAnsi="Arial"/>
                <w:b w:val="0"/>
                <w:sz w:val="16"/>
              </w:rPr>
              <w:t>0.25 1/s</w:t>
            </w:r>
          </w:p>
        </w:tc>
      </w:tr>
    </w:tbl>
    <w:p>
      <w:pPr>
        <w:spacing w:after="40"/>
      </w:pPr>
    </w:p>
    <w:p>
      <w:pPr>
        <w:keepNext/>
        <w:spacing w:before="200" w:after="100"/>
      </w:pPr>
      <w:r>
        <w:rPr>
          <w:rFonts w:ascii="Arial" w:hAnsi="Arial"/>
          <w:b/>
          <w:color w:val="1F5F8B"/>
          <w:sz w:val="24"/>
        </w:rPr>
        <w:t>Fuel / Limits</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limiting begins</w:t>
            </w:r>
          </w:p>
        </w:tc>
        <w:tc>
          <w:tcPr>
            <w:tcW w:type="dxa" w:w="4176"/>
            <w:tcMar>
              <w:top w:w="45" w:type="dxa"/>
              <w:start w:w="50" w:type="dxa"/>
              <w:bottom w:w="45" w:type="dxa"/>
              <w:end w:w="50" w:type="dxa"/>
            </w:tcMar>
          </w:tcPr>
          <w:p>
            <w:pPr>
              <w:spacing w:after="0"/>
            </w:pPr>
            <w:r>
              <w:rPr>
                <w:rFonts w:ascii="Arial" w:hAnsi="Arial"/>
                <w:b w:val="0"/>
                <w:sz w:val="16"/>
              </w:rPr>
              <w:t>N2 value at which overspeed fuel limiting begins.</w:t>
            </w:r>
          </w:p>
        </w:tc>
        <w:tc>
          <w:tcPr>
            <w:tcW w:type="dxa" w:w="1152"/>
            <w:tcMar>
              <w:top w:w="45" w:type="dxa"/>
              <w:start w:w="50" w:type="dxa"/>
              <w:bottom w:w="45" w:type="dxa"/>
              <w:end w:w="50" w:type="dxa"/>
            </w:tcMar>
          </w:tcPr>
          <w:p>
            <w:pPr>
              <w:spacing w:after="0"/>
            </w:pPr>
            <w:r>
              <w:rPr>
                <w:rFonts w:ascii="Arial" w:hAnsi="Arial"/>
                <w:b w:val="0"/>
                <w:sz w:val="16"/>
              </w:rPr>
              <w:t>102 %</w:t>
            </w:r>
          </w:p>
        </w:tc>
        <w:tc>
          <w:tcPr>
            <w:tcW w:type="dxa" w:w="1800"/>
            <w:tcMar>
              <w:top w:w="45" w:type="dxa"/>
              <w:start w:w="50" w:type="dxa"/>
              <w:bottom w:w="45" w:type="dxa"/>
              <w:end w:w="50" w:type="dxa"/>
            </w:tcMar>
          </w:tcPr>
          <w:p>
            <w:pPr>
              <w:spacing w:after="0"/>
            </w:pPr>
            <w:r>
              <w:rPr>
                <w:rFonts w:ascii="Arial" w:hAnsi="Arial"/>
                <w:b w:val="0"/>
                <w:sz w:val="16"/>
              </w:rPr>
              <w:t>98 to 104 %</w:t>
            </w:r>
          </w:p>
        </w:tc>
        <w:tc>
          <w:tcPr>
            <w:tcW w:type="dxa" w:w="1080"/>
            <w:tcMar>
              <w:top w:w="45" w:type="dxa"/>
              <w:start w:w="50" w:type="dxa"/>
              <w:bottom w:w="45" w:type="dxa"/>
              <w:end w:w="50" w:type="dxa"/>
            </w:tcMar>
          </w:tcPr>
          <w:p>
            <w:pPr>
              <w:spacing w:after="0"/>
            </w:pPr>
            <w:r>
              <w:rPr>
                <w:rFonts w:ascii="Arial" w:hAnsi="Arial"/>
                <w:b w:val="0"/>
                <w:sz w:val="16"/>
              </w:rPr>
              <w:t>0.25 %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absolute maximum</w:t>
            </w:r>
          </w:p>
        </w:tc>
        <w:tc>
          <w:tcPr>
            <w:tcW w:type="dxa" w:w="4176"/>
            <w:tcMar>
              <w:top w:w="45" w:type="dxa"/>
              <w:start w:w="50" w:type="dxa"/>
              <w:bottom w:w="45" w:type="dxa"/>
              <w:end w:w="50" w:type="dxa"/>
            </w:tcMar>
          </w:tcPr>
          <w:p>
            <w:pPr>
              <w:spacing w:after="0"/>
            </w:pPr>
            <w:r>
              <w:rPr>
                <w:rFonts w:ascii="Arial" w:hAnsi="Arial"/>
                <w:b w:val="0"/>
                <w:sz w:val="16"/>
              </w:rPr>
              <w:t>Upper N2 endpoint of the overspeed protection band; used with the overspeed fuel-reduction schedule.</w:t>
            </w:r>
          </w:p>
        </w:tc>
        <w:tc>
          <w:tcPr>
            <w:tcW w:type="dxa" w:w="1152"/>
            <w:tcMar>
              <w:top w:w="45" w:type="dxa"/>
              <w:start w:w="50" w:type="dxa"/>
              <w:bottom w:w="45" w:type="dxa"/>
              <w:end w:w="50" w:type="dxa"/>
            </w:tcMar>
          </w:tcPr>
          <w:p>
            <w:pPr>
              <w:spacing w:after="0"/>
            </w:pPr>
            <w:r>
              <w:rPr>
                <w:rFonts w:ascii="Arial" w:hAnsi="Arial"/>
                <w:b w:val="0"/>
                <w:sz w:val="16"/>
              </w:rPr>
              <w:t>104 %</w:t>
            </w:r>
          </w:p>
        </w:tc>
        <w:tc>
          <w:tcPr>
            <w:tcW w:type="dxa" w:w="1800"/>
            <w:tcMar>
              <w:top w:w="45" w:type="dxa"/>
              <w:start w:w="50" w:type="dxa"/>
              <w:bottom w:w="45" w:type="dxa"/>
              <w:end w:w="50" w:type="dxa"/>
            </w:tcMar>
          </w:tcPr>
          <w:p>
            <w:pPr>
              <w:spacing w:after="0"/>
            </w:pPr>
            <w:r>
              <w:rPr>
                <w:rFonts w:ascii="Arial" w:hAnsi="Arial"/>
                <w:b w:val="0"/>
                <w:sz w:val="16"/>
              </w:rPr>
              <w:t>100 to 108 %</w:t>
            </w:r>
          </w:p>
        </w:tc>
        <w:tc>
          <w:tcPr>
            <w:tcW w:type="dxa" w:w="1080"/>
            <w:tcMar>
              <w:top w:w="45" w:type="dxa"/>
              <w:start w:w="50" w:type="dxa"/>
              <w:bottom w:w="45" w:type="dxa"/>
              <w:end w:w="50" w:type="dxa"/>
            </w:tcMar>
          </w:tcPr>
          <w:p>
            <w:pPr>
              <w:spacing w:after="0"/>
            </w:pPr>
            <w:r>
              <w:rPr>
                <w:rFonts w:ascii="Arial" w:hAnsi="Arial"/>
                <w:b w:val="0"/>
                <w:sz w:val="16"/>
              </w:rPr>
              <w:t>0.25 %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overspeed fuel reduction</w:t>
            </w:r>
          </w:p>
        </w:tc>
        <w:tc>
          <w:tcPr>
            <w:tcW w:type="dxa" w:w="4176"/>
            <w:tcMar>
              <w:top w:w="45" w:type="dxa"/>
              <w:start w:w="50" w:type="dxa"/>
              <w:bottom w:w="45" w:type="dxa"/>
              <w:end w:w="50" w:type="dxa"/>
            </w:tcMar>
          </w:tcPr>
          <w:p>
            <w:pPr>
              <w:spacing w:after="0"/>
            </w:pPr>
            <w:r>
              <w:rPr>
                <w:rFonts w:ascii="Arial" w:hAnsi="Arial"/>
                <w:b w:val="0"/>
                <w:sz w:val="16"/>
              </w:rPr>
              <w:t>Amount of FAR removed per percent N2 in the overspeed limiting region.</w:t>
            </w:r>
          </w:p>
        </w:tc>
        <w:tc>
          <w:tcPr>
            <w:tcW w:type="dxa" w:w="1152"/>
            <w:tcMar>
              <w:top w:w="45" w:type="dxa"/>
              <w:start w:w="50" w:type="dxa"/>
              <w:bottom w:w="45" w:type="dxa"/>
              <w:end w:w="50" w:type="dxa"/>
            </w:tcMar>
          </w:tcPr>
          <w:p>
            <w:pPr>
              <w:spacing w:after="0"/>
            </w:pPr>
            <w:r>
              <w:rPr>
                <w:rFonts w:ascii="Arial" w:hAnsi="Arial"/>
                <w:b w:val="0"/>
                <w:sz w:val="16"/>
              </w:rPr>
              <w:t>0.004 FAR/%</w:t>
            </w:r>
          </w:p>
        </w:tc>
        <w:tc>
          <w:tcPr>
            <w:tcW w:type="dxa" w:w="1800"/>
            <w:tcMar>
              <w:top w:w="45" w:type="dxa"/>
              <w:start w:w="50" w:type="dxa"/>
              <w:bottom w:w="45" w:type="dxa"/>
              <w:end w:w="50" w:type="dxa"/>
            </w:tcMar>
          </w:tcPr>
          <w:p>
            <w:pPr>
              <w:spacing w:after="0"/>
            </w:pPr>
            <w:r>
              <w:rPr>
                <w:rFonts w:ascii="Arial" w:hAnsi="Arial"/>
                <w:b w:val="0"/>
                <w:sz w:val="16"/>
              </w:rPr>
              <w:t>0 to 0.02 FAR/%</w:t>
            </w:r>
          </w:p>
        </w:tc>
        <w:tc>
          <w:tcPr>
            <w:tcW w:type="dxa" w:w="1080"/>
            <w:tcMar>
              <w:top w:w="45" w:type="dxa"/>
              <w:start w:w="50" w:type="dxa"/>
              <w:bottom w:w="45" w:type="dxa"/>
              <w:end w:w="50" w:type="dxa"/>
            </w:tcMar>
          </w:tcPr>
          <w:p>
            <w:pPr>
              <w:spacing w:after="0"/>
            </w:pPr>
            <w:r>
              <w:rPr>
                <w:rFonts w:ascii="Arial" w:hAnsi="Arial"/>
                <w:b w:val="0"/>
                <w:sz w:val="16"/>
              </w:rPr>
              <w:t>0.0005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EGT limiting begins</w:t>
            </w:r>
          </w:p>
        </w:tc>
        <w:tc>
          <w:tcPr>
            <w:tcW w:type="dxa" w:w="4176"/>
            <w:tcMar>
              <w:top w:w="45" w:type="dxa"/>
              <w:start w:w="50" w:type="dxa"/>
              <w:bottom w:w="45" w:type="dxa"/>
              <w:end w:w="50" w:type="dxa"/>
            </w:tcMar>
          </w:tcPr>
          <w:p>
            <w:pPr>
              <w:spacing w:after="0"/>
            </w:pPr>
            <w:r>
              <w:rPr>
                <w:rFonts w:ascii="Arial" w:hAnsi="Arial"/>
                <w:b w:val="0"/>
                <w:sz w:val="16"/>
              </w:rPr>
              <w:t>EGT at which temperature-based fuel limiting begins.</w:t>
            </w:r>
          </w:p>
        </w:tc>
        <w:tc>
          <w:tcPr>
            <w:tcW w:type="dxa" w:w="1152"/>
            <w:tcMar>
              <w:top w:w="45" w:type="dxa"/>
              <w:start w:w="50" w:type="dxa"/>
              <w:bottom w:w="45" w:type="dxa"/>
              <w:end w:w="50" w:type="dxa"/>
            </w:tcMar>
          </w:tcPr>
          <w:p>
            <w:pPr>
              <w:spacing w:after="0"/>
            </w:pPr>
            <w:r>
              <w:rPr>
                <w:rFonts w:ascii="Arial" w:hAnsi="Arial"/>
                <w:b w:val="0"/>
                <w:sz w:val="16"/>
              </w:rPr>
              <w:t>900 C</w:t>
            </w:r>
          </w:p>
        </w:tc>
        <w:tc>
          <w:tcPr>
            <w:tcW w:type="dxa" w:w="1800"/>
            <w:tcMar>
              <w:top w:w="45" w:type="dxa"/>
              <w:start w:w="50" w:type="dxa"/>
              <w:bottom w:w="45" w:type="dxa"/>
              <w:end w:w="50" w:type="dxa"/>
            </w:tcMar>
          </w:tcPr>
          <w:p>
            <w:pPr>
              <w:spacing w:after="0"/>
            </w:pPr>
            <w:r>
              <w:rPr>
                <w:rFonts w:ascii="Arial" w:hAnsi="Arial"/>
                <w:b w:val="0"/>
                <w:sz w:val="16"/>
              </w:rPr>
              <w:t>650 to 1,000 C</w:t>
            </w:r>
          </w:p>
        </w:tc>
        <w:tc>
          <w:tcPr>
            <w:tcW w:type="dxa" w:w="1080"/>
            <w:tcMar>
              <w:top w:w="45" w:type="dxa"/>
              <w:start w:w="50" w:type="dxa"/>
              <w:bottom w:w="45" w:type="dxa"/>
              <w:end w:w="50" w:type="dxa"/>
            </w:tcMar>
          </w:tcPr>
          <w:p>
            <w:pPr>
              <w:spacing w:after="0"/>
            </w:pPr>
            <w:r>
              <w:rPr>
                <w:rFonts w:ascii="Arial" w:hAnsi="Arial"/>
                <w:b w:val="0"/>
                <w:sz w:val="16"/>
              </w:rPr>
              <w:t>5 C</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EGT</w:t>
            </w:r>
          </w:p>
        </w:tc>
        <w:tc>
          <w:tcPr>
            <w:tcW w:type="dxa" w:w="4176"/>
            <w:tcMar>
              <w:top w:w="45" w:type="dxa"/>
              <w:start w:w="50" w:type="dxa"/>
              <w:bottom w:w="45" w:type="dxa"/>
              <w:end w:w="50" w:type="dxa"/>
            </w:tcMar>
          </w:tcPr>
          <w:p>
            <w:pPr>
              <w:spacing w:after="0"/>
            </w:pPr>
            <w:r>
              <w:rPr>
                <w:rFonts w:ascii="Arial" w:hAnsi="Arial"/>
                <w:b w:val="0"/>
                <w:sz w:val="16"/>
              </w:rPr>
              <w:t>Upper EGT endpoint of the temperature protection band.</w:t>
            </w:r>
          </w:p>
        </w:tc>
        <w:tc>
          <w:tcPr>
            <w:tcW w:type="dxa" w:w="1152"/>
            <w:tcMar>
              <w:top w:w="45" w:type="dxa"/>
              <w:start w:w="50" w:type="dxa"/>
              <w:bottom w:w="45" w:type="dxa"/>
              <w:end w:w="50" w:type="dxa"/>
            </w:tcMar>
          </w:tcPr>
          <w:p>
            <w:pPr>
              <w:spacing w:after="0"/>
            </w:pPr>
            <w:r>
              <w:rPr>
                <w:rFonts w:ascii="Arial" w:hAnsi="Arial"/>
                <w:b w:val="0"/>
                <w:sz w:val="16"/>
              </w:rPr>
              <w:t>950 C</w:t>
            </w:r>
          </w:p>
        </w:tc>
        <w:tc>
          <w:tcPr>
            <w:tcW w:type="dxa" w:w="1800"/>
            <w:tcMar>
              <w:top w:w="45" w:type="dxa"/>
              <w:start w:w="50" w:type="dxa"/>
              <w:bottom w:w="45" w:type="dxa"/>
              <w:end w:w="50" w:type="dxa"/>
            </w:tcMar>
          </w:tcPr>
          <w:p>
            <w:pPr>
              <w:spacing w:after="0"/>
            </w:pPr>
            <w:r>
              <w:rPr>
                <w:rFonts w:ascii="Arial" w:hAnsi="Arial"/>
                <w:b w:val="0"/>
                <w:sz w:val="16"/>
              </w:rPr>
              <w:t>750 to 1,100 C</w:t>
            </w:r>
          </w:p>
        </w:tc>
        <w:tc>
          <w:tcPr>
            <w:tcW w:type="dxa" w:w="1080"/>
            <w:tcMar>
              <w:top w:w="45" w:type="dxa"/>
              <w:start w:w="50" w:type="dxa"/>
              <w:bottom w:w="45" w:type="dxa"/>
              <w:end w:w="50" w:type="dxa"/>
            </w:tcMar>
          </w:tcPr>
          <w:p>
            <w:pPr>
              <w:spacing w:after="0"/>
            </w:pPr>
            <w:r>
              <w:rPr>
                <w:rFonts w:ascii="Arial" w:hAnsi="Arial"/>
                <w:b w:val="0"/>
                <w:sz w:val="16"/>
              </w:rPr>
              <w:t>5 C</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increase slew</w:t>
            </w:r>
          </w:p>
        </w:tc>
        <w:tc>
          <w:tcPr>
            <w:tcW w:type="dxa" w:w="4176"/>
            <w:tcMar>
              <w:top w:w="45" w:type="dxa"/>
              <w:start w:w="50" w:type="dxa"/>
              <w:bottom w:w="45" w:type="dxa"/>
              <w:end w:w="50" w:type="dxa"/>
            </w:tcMar>
          </w:tcPr>
          <w:p>
            <w:pPr>
              <w:spacing w:after="0"/>
            </w:pPr>
            <w:r>
              <w:rPr>
                <w:rFonts w:ascii="Arial" w:hAnsi="Arial"/>
                <w:b w:val="0"/>
                <w:sz w:val="16"/>
              </w:rPr>
              <w:t>Maximum rate at which metered fuel flow may increase; limits acceleration-side fuel slew.</w:t>
            </w:r>
          </w:p>
        </w:tc>
        <w:tc>
          <w:tcPr>
            <w:tcW w:type="dxa" w:w="1152"/>
            <w:tcMar>
              <w:top w:w="45" w:type="dxa"/>
              <w:start w:w="50" w:type="dxa"/>
              <w:bottom w:w="45" w:type="dxa"/>
              <w:end w:w="50" w:type="dxa"/>
            </w:tcMar>
          </w:tcPr>
          <w:p>
            <w:pPr>
              <w:spacing w:after="0"/>
            </w:pPr>
            <w:r>
              <w:rPr>
                <w:rFonts w:ascii="Arial" w:hAnsi="Arial"/>
                <w:b w:val="0"/>
                <w:sz w:val="16"/>
              </w:rPr>
              <w:t>0.2 kg/s2</w:t>
            </w:r>
          </w:p>
        </w:tc>
        <w:tc>
          <w:tcPr>
            <w:tcW w:type="dxa" w:w="1800"/>
            <w:tcMar>
              <w:top w:w="45" w:type="dxa"/>
              <w:start w:w="50" w:type="dxa"/>
              <w:bottom w:w="45" w:type="dxa"/>
              <w:end w:w="50" w:type="dxa"/>
            </w:tcMar>
          </w:tcPr>
          <w:p>
            <w:pPr>
              <w:spacing w:after="0"/>
            </w:pPr>
            <w:r>
              <w:rPr>
                <w:rFonts w:ascii="Arial" w:hAnsi="Arial"/>
                <w:b w:val="0"/>
                <w:sz w:val="16"/>
              </w:rPr>
              <w:t>0.02 to 1 kg/s2</w:t>
            </w:r>
          </w:p>
        </w:tc>
        <w:tc>
          <w:tcPr>
            <w:tcW w:type="dxa" w:w="1080"/>
            <w:tcMar>
              <w:top w:w="45" w:type="dxa"/>
              <w:start w:w="50" w:type="dxa"/>
              <w:bottom w:w="45" w:type="dxa"/>
              <w:end w:w="50" w:type="dxa"/>
            </w:tcMar>
          </w:tcPr>
          <w:p>
            <w:pPr>
              <w:spacing w:after="0"/>
            </w:pPr>
            <w:r>
              <w:rPr>
                <w:rFonts w:ascii="Arial" w:hAnsi="Arial"/>
                <w:b w:val="0"/>
                <w:sz w:val="16"/>
              </w:rPr>
              <w:t>0.01 kg/s2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decrease slew</w:t>
            </w:r>
          </w:p>
        </w:tc>
        <w:tc>
          <w:tcPr>
            <w:tcW w:type="dxa" w:w="4176"/>
            <w:tcMar>
              <w:top w:w="45" w:type="dxa"/>
              <w:start w:w="50" w:type="dxa"/>
              <w:bottom w:w="45" w:type="dxa"/>
              <w:end w:w="50" w:type="dxa"/>
            </w:tcMar>
          </w:tcPr>
          <w:p>
            <w:pPr>
              <w:spacing w:after="0"/>
            </w:pPr>
            <w:r>
              <w:rPr>
                <w:rFonts w:ascii="Arial" w:hAnsi="Arial"/>
                <w:b w:val="0"/>
                <w:sz w:val="16"/>
              </w:rPr>
              <w:t>Maximum rate at which metered fuel flow may decrease; limits deceleration-side fuel slew.</w:t>
            </w:r>
          </w:p>
        </w:tc>
        <w:tc>
          <w:tcPr>
            <w:tcW w:type="dxa" w:w="1152"/>
            <w:tcMar>
              <w:top w:w="45" w:type="dxa"/>
              <w:start w:w="50" w:type="dxa"/>
              <w:bottom w:w="45" w:type="dxa"/>
              <w:end w:w="50" w:type="dxa"/>
            </w:tcMar>
          </w:tcPr>
          <w:p>
            <w:pPr>
              <w:spacing w:after="0"/>
            </w:pPr>
            <w:r>
              <w:rPr>
                <w:rFonts w:ascii="Arial" w:hAnsi="Arial"/>
                <w:b w:val="0"/>
                <w:sz w:val="16"/>
              </w:rPr>
              <w:t>0.5 kg/s2</w:t>
            </w:r>
          </w:p>
        </w:tc>
        <w:tc>
          <w:tcPr>
            <w:tcW w:type="dxa" w:w="1800"/>
            <w:tcMar>
              <w:top w:w="45" w:type="dxa"/>
              <w:start w:w="50" w:type="dxa"/>
              <w:bottom w:w="45" w:type="dxa"/>
              <w:end w:w="50" w:type="dxa"/>
            </w:tcMar>
          </w:tcPr>
          <w:p>
            <w:pPr>
              <w:spacing w:after="0"/>
            </w:pPr>
            <w:r>
              <w:rPr>
                <w:rFonts w:ascii="Arial" w:hAnsi="Arial"/>
                <w:b w:val="0"/>
                <w:sz w:val="16"/>
              </w:rPr>
              <w:t>0.02 to 1.5 kg/s2</w:t>
            </w:r>
          </w:p>
        </w:tc>
        <w:tc>
          <w:tcPr>
            <w:tcW w:type="dxa" w:w="1080"/>
            <w:tcMar>
              <w:top w:w="45" w:type="dxa"/>
              <w:start w:w="50" w:type="dxa"/>
              <w:bottom w:w="45" w:type="dxa"/>
              <w:end w:w="50" w:type="dxa"/>
            </w:tcMar>
          </w:tcPr>
          <w:p>
            <w:pPr>
              <w:spacing w:after="0"/>
            </w:pPr>
            <w:r>
              <w:rPr>
                <w:rFonts w:ascii="Arial" w:hAnsi="Arial"/>
                <w:b w:val="0"/>
                <w:sz w:val="16"/>
              </w:rPr>
              <w:t>0.01 kg/s2</w:t>
            </w:r>
          </w:p>
        </w:tc>
      </w:tr>
    </w:tbl>
    <w:p>
      <w:pPr>
        <w:spacing w:after="40"/>
      </w:pPr>
    </w:p>
    <w:p>
      <w:pPr>
        <w:keepNext/>
        <w:spacing w:before="200" w:after="100"/>
      </w:pPr>
      <w:r>
        <w:rPr>
          <w:rFonts w:ascii="Arial" w:hAnsi="Arial"/>
          <w:b/>
          <w:color w:val="1F5F8B"/>
          <w:sz w:val="24"/>
        </w:rPr>
        <w:t>Fan / Compressor</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N1 100% design speed</w:t>
            </w:r>
          </w:p>
        </w:tc>
        <w:tc>
          <w:tcPr>
            <w:tcW w:type="dxa" w:w="4176"/>
            <w:tcMar>
              <w:top w:w="45" w:type="dxa"/>
              <w:start w:w="50" w:type="dxa"/>
              <w:bottom w:w="45" w:type="dxa"/>
              <w:end w:w="50" w:type="dxa"/>
            </w:tcMar>
          </w:tcPr>
          <w:p>
            <w:pPr>
              <w:spacing w:after="0"/>
            </w:pPr>
            <w:r>
              <w:rPr>
                <w:rFonts w:ascii="Arial" w:hAnsi="Arial"/>
                <w:b w:val="0"/>
                <w:sz w:val="16"/>
              </w:rPr>
              <w:t>Physical shaft speed represented by 100 percent N1, used to convert between N1 percentage and LP-spool rotational speed.</w:t>
            </w:r>
          </w:p>
        </w:tc>
        <w:tc>
          <w:tcPr>
            <w:tcW w:type="dxa" w:w="1152"/>
            <w:tcMar>
              <w:top w:w="45" w:type="dxa"/>
              <w:start w:w="50" w:type="dxa"/>
              <w:bottom w:w="45" w:type="dxa"/>
              <w:end w:w="50" w:type="dxa"/>
            </w:tcMar>
          </w:tcPr>
          <w:p>
            <w:pPr>
              <w:spacing w:after="0"/>
            </w:pPr>
            <w:r>
              <w:rPr>
                <w:rFonts w:ascii="Arial" w:hAnsi="Arial"/>
                <w:b w:val="0"/>
                <w:sz w:val="16"/>
              </w:rPr>
              <w:t>5,200 rpm</w:t>
            </w:r>
          </w:p>
        </w:tc>
        <w:tc>
          <w:tcPr>
            <w:tcW w:type="dxa" w:w="1800"/>
            <w:tcMar>
              <w:top w:w="45" w:type="dxa"/>
              <w:start w:w="50" w:type="dxa"/>
              <w:bottom w:w="45" w:type="dxa"/>
              <w:end w:w="50" w:type="dxa"/>
            </w:tcMar>
          </w:tcPr>
          <w:p>
            <w:pPr>
              <w:spacing w:after="0"/>
            </w:pPr>
            <w:r>
              <w:rPr>
                <w:rFonts w:ascii="Arial" w:hAnsi="Arial"/>
                <w:b w:val="0"/>
                <w:sz w:val="16"/>
              </w:rPr>
              <w:t>3,500 to 7,000 rpm</w:t>
            </w:r>
          </w:p>
        </w:tc>
        <w:tc>
          <w:tcPr>
            <w:tcW w:type="dxa" w:w="1080"/>
            <w:tcMar>
              <w:top w:w="45" w:type="dxa"/>
              <w:start w:w="50" w:type="dxa"/>
              <w:bottom w:w="45" w:type="dxa"/>
              <w:end w:w="50" w:type="dxa"/>
            </w:tcMar>
          </w:tcPr>
          <w:p>
            <w:pPr>
              <w:spacing w:after="0"/>
            </w:pPr>
            <w:r>
              <w:rPr>
                <w:rFonts w:ascii="Arial" w:hAnsi="Arial"/>
                <w:b w:val="0"/>
                <w:sz w:val="16"/>
              </w:rPr>
              <w:t>25 rpm</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N2 100% design speed</w:t>
            </w:r>
          </w:p>
        </w:tc>
        <w:tc>
          <w:tcPr>
            <w:tcW w:type="dxa" w:w="4176"/>
            <w:tcMar>
              <w:top w:w="45" w:type="dxa"/>
              <w:start w:w="50" w:type="dxa"/>
              <w:bottom w:w="45" w:type="dxa"/>
              <w:end w:w="50" w:type="dxa"/>
            </w:tcMar>
          </w:tcPr>
          <w:p>
            <w:pPr>
              <w:spacing w:after="0"/>
            </w:pPr>
            <w:r>
              <w:rPr>
                <w:rFonts w:ascii="Arial" w:hAnsi="Arial"/>
                <w:b w:val="0"/>
                <w:sz w:val="16"/>
              </w:rPr>
              <w:t>Physical shaft speed represented by 100 percent N2, used to convert between N2 percentage and HP-spool rotational speed.</w:t>
            </w:r>
          </w:p>
        </w:tc>
        <w:tc>
          <w:tcPr>
            <w:tcW w:type="dxa" w:w="1152"/>
            <w:tcMar>
              <w:top w:w="45" w:type="dxa"/>
              <w:start w:w="50" w:type="dxa"/>
              <w:bottom w:w="45" w:type="dxa"/>
              <w:end w:w="50" w:type="dxa"/>
            </w:tcMar>
          </w:tcPr>
          <w:p>
            <w:pPr>
              <w:spacing w:after="0"/>
            </w:pPr>
            <w:r>
              <w:rPr>
                <w:rFonts w:ascii="Arial" w:hAnsi="Arial"/>
                <w:b w:val="0"/>
                <w:sz w:val="16"/>
              </w:rPr>
              <w:t>14,500 rpm</w:t>
            </w:r>
          </w:p>
        </w:tc>
        <w:tc>
          <w:tcPr>
            <w:tcW w:type="dxa" w:w="1800"/>
            <w:tcMar>
              <w:top w:w="45" w:type="dxa"/>
              <w:start w:w="50" w:type="dxa"/>
              <w:bottom w:w="45" w:type="dxa"/>
              <w:end w:w="50" w:type="dxa"/>
            </w:tcMar>
          </w:tcPr>
          <w:p>
            <w:pPr>
              <w:spacing w:after="0"/>
            </w:pPr>
            <w:r>
              <w:rPr>
                <w:rFonts w:ascii="Arial" w:hAnsi="Arial"/>
                <w:b w:val="0"/>
                <w:sz w:val="16"/>
              </w:rPr>
              <w:t>9,000 to 18,000 rpm</w:t>
            </w:r>
          </w:p>
        </w:tc>
        <w:tc>
          <w:tcPr>
            <w:tcW w:type="dxa" w:w="1080"/>
            <w:tcMar>
              <w:top w:w="45" w:type="dxa"/>
              <w:start w:w="50" w:type="dxa"/>
              <w:bottom w:w="45" w:type="dxa"/>
              <w:end w:w="50" w:type="dxa"/>
            </w:tcMar>
          </w:tcPr>
          <w:p>
            <w:pPr>
              <w:spacing w:after="0"/>
            </w:pPr>
            <w:r>
              <w:rPr>
                <w:rFonts w:ascii="Arial" w:hAnsi="Arial"/>
                <w:b w:val="0"/>
                <w:sz w:val="16"/>
              </w:rPr>
              <w:t>50 rpm</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Design core mass flow</w:t>
            </w:r>
          </w:p>
        </w:tc>
        <w:tc>
          <w:tcPr>
            <w:tcW w:type="dxa" w:w="4176"/>
            <w:tcMar>
              <w:top w:w="45" w:type="dxa"/>
              <w:start w:w="50" w:type="dxa"/>
              <w:bottom w:w="45" w:type="dxa"/>
              <w:end w:w="50" w:type="dxa"/>
            </w:tcMar>
          </w:tcPr>
          <w:p>
            <w:pPr>
              <w:spacing w:after="0"/>
            </w:pPr>
            <w:r>
              <w:rPr>
                <w:rFonts w:ascii="Arial" w:hAnsi="Arial"/>
                <w:b w:val="0"/>
                <w:sz w:val="16"/>
              </w:rPr>
              <w:t>Core mass-flow design anchor used to scale the generic compressor-map solution to the simulated engine size.</w:t>
            </w:r>
          </w:p>
        </w:tc>
        <w:tc>
          <w:tcPr>
            <w:tcW w:type="dxa" w:w="1152"/>
            <w:tcMar>
              <w:top w:w="45" w:type="dxa"/>
              <w:start w:w="50" w:type="dxa"/>
              <w:bottom w:w="45" w:type="dxa"/>
              <w:end w:w="50" w:type="dxa"/>
            </w:tcMar>
          </w:tcPr>
          <w:p>
            <w:pPr>
              <w:spacing w:after="0"/>
            </w:pPr>
            <w:r>
              <w:rPr>
                <w:rFonts w:ascii="Arial" w:hAnsi="Arial"/>
                <w:b w:val="0"/>
                <w:sz w:val="16"/>
              </w:rPr>
              <w:t>58 kg/s</w:t>
            </w:r>
          </w:p>
        </w:tc>
        <w:tc>
          <w:tcPr>
            <w:tcW w:type="dxa" w:w="1800"/>
            <w:tcMar>
              <w:top w:w="45" w:type="dxa"/>
              <w:start w:w="50" w:type="dxa"/>
              <w:bottom w:w="45" w:type="dxa"/>
              <w:end w:w="50" w:type="dxa"/>
            </w:tcMar>
          </w:tcPr>
          <w:p>
            <w:pPr>
              <w:spacing w:after="0"/>
            </w:pPr>
            <w:r>
              <w:rPr>
                <w:rFonts w:ascii="Arial" w:hAnsi="Arial"/>
                <w:b w:val="0"/>
                <w:sz w:val="16"/>
              </w:rPr>
              <w:t>20 to 100 kg/s</w:t>
            </w:r>
          </w:p>
        </w:tc>
        <w:tc>
          <w:tcPr>
            <w:tcW w:type="dxa" w:w="1080"/>
            <w:tcMar>
              <w:top w:w="45" w:type="dxa"/>
              <w:start w:w="50" w:type="dxa"/>
              <w:bottom w:w="45" w:type="dxa"/>
              <w:end w:w="50" w:type="dxa"/>
            </w:tcMar>
          </w:tcPr>
          <w:p>
            <w:pPr>
              <w:spacing w:after="0"/>
            </w:pPr>
            <w:r>
              <w:rPr>
                <w:rFonts w:ascii="Arial" w:hAnsi="Arial"/>
                <w:b w:val="0"/>
                <w:sz w:val="16"/>
              </w:rPr>
              <w:t>0.5 kg/s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Bypass ratio</w:t>
            </w:r>
          </w:p>
        </w:tc>
        <w:tc>
          <w:tcPr>
            <w:tcW w:type="dxa" w:w="4176"/>
            <w:tcMar>
              <w:top w:w="45" w:type="dxa"/>
              <w:start w:w="50" w:type="dxa"/>
              <w:bottom w:w="45" w:type="dxa"/>
              <w:end w:w="50" w:type="dxa"/>
            </w:tcMar>
          </w:tcPr>
          <w:p>
            <w:pPr>
              <w:spacing w:after="0"/>
            </w:pPr>
            <w:r>
              <w:rPr>
                <w:rFonts w:ascii="Arial" w:hAnsi="Arial"/>
                <w:b w:val="0"/>
                <w:sz w:val="16"/>
              </w:rPr>
              <w:t>Design bypass-to-core mass-flow ratio; sets the relationship between fan/bypass flow and core flow.</w:t>
            </w:r>
          </w:p>
        </w:tc>
        <w:tc>
          <w:tcPr>
            <w:tcW w:type="dxa" w:w="1152"/>
            <w:tcMar>
              <w:top w:w="45" w:type="dxa"/>
              <w:start w:w="50" w:type="dxa"/>
              <w:bottom w:w="45" w:type="dxa"/>
              <w:end w:w="50" w:type="dxa"/>
            </w:tcMar>
          </w:tcPr>
          <w:p>
            <w:pPr>
              <w:spacing w:after="0"/>
            </w:pPr>
            <w:r>
              <w:rPr>
                <w:rFonts w:ascii="Arial" w:hAnsi="Arial"/>
                <w:b w:val="0"/>
                <w:sz w:val="16"/>
              </w:rPr>
              <w:t>5.1</w:t>
            </w:r>
          </w:p>
        </w:tc>
        <w:tc>
          <w:tcPr>
            <w:tcW w:type="dxa" w:w="1800"/>
            <w:tcMar>
              <w:top w:w="45" w:type="dxa"/>
              <w:start w:w="50" w:type="dxa"/>
              <w:bottom w:w="45" w:type="dxa"/>
              <w:end w:w="50" w:type="dxa"/>
            </w:tcMar>
          </w:tcPr>
          <w:p>
            <w:pPr>
              <w:spacing w:after="0"/>
            </w:pPr>
            <w:r>
              <w:rPr>
                <w:rFonts w:ascii="Arial" w:hAnsi="Arial"/>
                <w:b w:val="0"/>
                <w:sz w:val="16"/>
              </w:rPr>
              <w:t>2 to 8</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 design pressure ratio</w:t>
            </w:r>
          </w:p>
        </w:tc>
        <w:tc>
          <w:tcPr>
            <w:tcW w:type="dxa" w:w="4176"/>
            <w:tcMar>
              <w:top w:w="45" w:type="dxa"/>
              <w:start w:w="50" w:type="dxa"/>
              <w:bottom w:w="45" w:type="dxa"/>
              <w:end w:w="50" w:type="dxa"/>
            </w:tcMar>
          </w:tcPr>
          <w:p>
            <w:pPr>
              <w:spacing w:after="0"/>
            </w:pPr>
            <w:r>
              <w:rPr>
                <w:rFonts w:ascii="Arial" w:hAnsi="Arial"/>
                <w:b w:val="0"/>
                <w:sz w:val="16"/>
              </w:rPr>
              <w:t>Fan total-pressure-ratio design anchor used in fan map scaling.</w:t>
            </w:r>
          </w:p>
        </w:tc>
        <w:tc>
          <w:tcPr>
            <w:tcW w:type="dxa" w:w="1152"/>
            <w:tcMar>
              <w:top w:w="45" w:type="dxa"/>
              <w:start w:w="50" w:type="dxa"/>
              <w:bottom w:w="45" w:type="dxa"/>
              <w:end w:w="50" w:type="dxa"/>
            </w:tcMar>
          </w:tcPr>
          <w:p>
            <w:pPr>
              <w:spacing w:after="0"/>
            </w:pPr>
            <w:r>
              <w:rPr>
                <w:rFonts w:ascii="Arial" w:hAnsi="Arial"/>
                <w:b w:val="0"/>
                <w:sz w:val="16"/>
              </w:rPr>
              <w:t>1.55 Pt out/in</w:t>
            </w:r>
          </w:p>
        </w:tc>
        <w:tc>
          <w:tcPr>
            <w:tcW w:type="dxa" w:w="1800"/>
            <w:tcMar>
              <w:top w:w="45" w:type="dxa"/>
              <w:start w:w="50" w:type="dxa"/>
              <w:bottom w:w="45" w:type="dxa"/>
              <w:end w:w="50" w:type="dxa"/>
            </w:tcMar>
          </w:tcPr>
          <w:p>
            <w:pPr>
              <w:spacing w:after="0"/>
            </w:pPr>
            <w:r>
              <w:rPr>
                <w:rFonts w:ascii="Arial" w:hAnsi="Arial"/>
                <w:b w:val="0"/>
                <w:sz w:val="16"/>
              </w:rPr>
              <w:t>1.05 to 2.2 Pt out/in</w:t>
            </w:r>
          </w:p>
        </w:tc>
        <w:tc>
          <w:tcPr>
            <w:tcW w:type="dxa" w:w="1080"/>
            <w:tcMar>
              <w:top w:w="45" w:type="dxa"/>
              <w:start w:w="50" w:type="dxa"/>
              <w:bottom w:w="45" w:type="dxa"/>
              <w:end w:w="50" w:type="dxa"/>
            </w:tcMar>
          </w:tcPr>
          <w:p>
            <w:pPr>
              <w:spacing w:after="0"/>
            </w:pPr>
            <w:r>
              <w:rPr>
                <w:rFonts w:ascii="Arial" w:hAnsi="Arial"/>
                <w:b w:val="0"/>
                <w:sz w:val="16"/>
              </w:rPr>
              <w:t>0.01 Pt out/in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LPC design pressure ratio</w:t>
            </w:r>
          </w:p>
        </w:tc>
        <w:tc>
          <w:tcPr>
            <w:tcW w:type="dxa" w:w="4176"/>
            <w:tcMar>
              <w:top w:w="45" w:type="dxa"/>
              <w:start w:w="50" w:type="dxa"/>
              <w:bottom w:w="45" w:type="dxa"/>
              <w:end w:w="50" w:type="dxa"/>
            </w:tcMar>
          </w:tcPr>
          <w:p>
            <w:pPr>
              <w:spacing w:after="0"/>
            </w:pPr>
            <w:r>
              <w:rPr>
                <w:rFonts w:ascii="Arial" w:hAnsi="Arial"/>
                <w:b w:val="0"/>
                <w:sz w:val="16"/>
              </w:rPr>
              <w:t>LPC/booster total-pressure-ratio design anchor used in LPC map scaling.</w:t>
            </w:r>
          </w:p>
        </w:tc>
        <w:tc>
          <w:tcPr>
            <w:tcW w:type="dxa" w:w="1152"/>
            <w:tcMar>
              <w:top w:w="45" w:type="dxa"/>
              <w:start w:w="50" w:type="dxa"/>
              <w:bottom w:w="45" w:type="dxa"/>
              <w:end w:w="50" w:type="dxa"/>
            </w:tcMar>
          </w:tcPr>
          <w:p>
            <w:pPr>
              <w:spacing w:after="0"/>
            </w:pPr>
            <w:r>
              <w:rPr>
                <w:rFonts w:ascii="Arial" w:hAnsi="Arial"/>
                <w:b w:val="0"/>
                <w:sz w:val="16"/>
              </w:rPr>
              <w:t>1.75 Pt out/in</w:t>
            </w:r>
          </w:p>
        </w:tc>
        <w:tc>
          <w:tcPr>
            <w:tcW w:type="dxa" w:w="1800"/>
            <w:tcMar>
              <w:top w:w="45" w:type="dxa"/>
              <w:start w:w="50" w:type="dxa"/>
              <w:bottom w:w="45" w:type="dxa"/>
              <w:end w:w="50" w:type="dxa"/>
            </w:tcMar>
          </w:tcPr>
          <w:p>
            <w:pPr>
              <w:spacing w:after="0"/>
            </w:pPr>
            <w:r>
              <w:rPr>
                <w:rFonts w:ascii="Arial" w:hAnsi="Arial"/>
                <w:b w:val="0"/>
                <w:sz w:val="16"/>
              </w:rPr>
              <w:t>1.05 to 3 Pt out/in</w:t>
            </w:r>
          </w:p>
        </w:tc>
        <w:tc>
          <w:tcPr>
            <w:tcW w:type="dxa" w:w="1080"/>
            <w:tcMar>
              <w:top w:w="45" w:type="dxa"/>
              <w:start w:w="50" w:type="dxa"/>
              <w:bottom w:w="45" w:type="dxa"/>
              <w:end w:w="50" w:type="dxa"/>
            </w:tcMar>
          </w:tcPr>
          <w:p>
            <w:pPr>
              <w:spacing w:after="0"/>
            </w:pPr>
            <w:r>
              <w:rPr>
                <w:rFonts w:ascii="Arial" w:hAnsi="Arial"/>
                <w:b w:val="0"/>
                <w:sz w:val="16"/>
              </w:rPr>
              <w:t>0.01 Pt out/in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Fan/LPC PR speed exponent</w:t>
            </w:r>
          </w:p>
        </w:tc>
        <w:tc>
          <w:tcPr>
            <w:tcW w:type="dxa" w:w="4176"/>
            <w:tcMar>
              <w:top w:w="45" w:type="dxa"/>
              <w:start w:w="50" w:type="dxa"/>
              <w:bottom w:w="45" w:type="dxa"/>
              <w:end w:w="50" w:type="dxa"/>
            </w:tcMar>
          </w:tcPr>
          <w:p>
            <w:pPr>
              <w:spacing w:after="0"/>
            </w:pPr>
            <w:r>
              <w:rPr>
                <w:rFonts w:ascii="Arial" w:hAnsi="Arial"/>
                <w:b w:val="0"/>
                <w:sz w:val="16"/>
              </w:rPr>
              <w:t>Selected LPC/booster map Rline operating coordinate.</w:t>
            </w:r>
          </w:p>
        </w:tc>
        <w:tc>
          <w:tcPr>
            <w:tcW w:type="dxa" w:w="1152"/>
            <w:tcMar>
              <w:top w:w="45" w:type="dxa"/>
              <w:start w:w="50" w:type="dxa"/>
              <w:bottom w:w="45" w:type="dxa"/>
              <w:end w:w="50" w:type="dxa"/>
            </w:tcMar>
          </w:tcPr>
          <w:p>
            <w:pPr>
              <w:spacing w:after="0"/>
            </w:pPr>
            <w:r>
              <w:rPr>
                <w:rFonts w:ascii="Arial" w:hAnsi="Arial"/>
                <w:b w:val="0"/>
                <w:sz w:val="16"/>
              </w:rPr>
              <w:t>3</w:t>
            </w:r>
          </w:p>
        </w:tc>
        <w:tc>
          <w:tcPr>
            <w:tcW w:type="dxa" w:w="1800"/>
            <w:tcMar>
              <w:top w:w="45" w:type="dxa"/>
              <w:start w:w="50" w:type="dxa"/>
              <w:bottom w:w="45" w:type="dxa"/>
              <w:end w:w="50" w:type="dxa"/>
            </w:tcMar>
          </w:tcPr>
          <w:p>
            <w:pPr>
              <w:spacing w:after="0"/>
            </w:pPr>
            <w:r>
              <w:rPr>
                <w:rFonts w:ascii="Arial" w:hAnsi="Arial"/>
                <w:b w:val="0"/>
                <w:sz w:val="16"/>
              </w:rPr>
              <w:t>1 to 3</w:t>
            </w:r>
          </w:p>
        </w:tc>
        <w:tc>
          <w:tcPr>
            <w:tcW w:type="dxa" w:w="1080"/>
            <w:tcMar>
              <w:top w:w="45" w:type="dxa"/>
              <w:start w:w="50" w:type="dxa"/>
              <w:bottom w:w="45" w:type="dxa"/>
              <w:end w:w="50" w:type="dxa"/>
            </w:tcMar>
          </w:tcPr>
          <w:p>
            <w:pPr>
              <w:spacing w:after="0"/>
            </w:pPr>
            <w:r>
              <w:rPr>
                <w:rFonts w:ascii="Arial" w:hAnsi="Arial"/>
                <w:b w:val="0"/>
                <w:sz w:val="16"/>
              </w:rPr>
              <w:t>0.05</w:t>
            </w:r>
          </w:p>
        </w:tc>
      </w:tr>
    </w:tbl>
    <w:p>
      <w:pPr>
        <w:spacing w:after="40"/>
      </w:pPr>
    </w:p>
    <w:p>
      <w:pPr>
        <w:keepNext/>
        <w:spacing w:before="200" w:after="100"/>
      </w:pPr>
      <w:r>
        <w:rPr>
          <w:rFonts w:ascii="Arial" w:hAnsi="Arial"/>
          <w:b/>
          <w:color w:val="1F5F8B"/>
          <w:sz w:val="24"/>
        </w:rPr>
        <w:t>Fan Map Step 3</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 design efficiency (map anchor)</w:t>
            </w:r>
          </w:p>
        </w:tc>
        <w:tc>
          <w:tcPr>
            <w:tcW w:type="dxa" w:w="4176"/>
            <w:tcMar>
              <w:top w:w="45" w:type="dxa"/>
              <w:start w:w="50" w:type="dxa"/>
              <w:bottom w:w="45" w:type="dxa"/>
              <w:end w:w="50" w:type="dxa"/>
            </w:tcMar>
          </w:tcPr>
          <w:p>
            <w:pPr>
              <w:spacing w:after="0"/>
            </w:pPr>
            <w:r>
              <w:rPr>
                <w:rFonts w:ascii="Arial" w:hAnsi="Arial"/>
                <w:b w:val="0"/>
                <w:sz w:val="16"/>
              </w:rPr>
              <w:t>Speed-shaping exponent retained for the fan/LPC pressure-ratio schedule around the mapped design anchors.</w:t>
            </w:r>
          </w:p>
        </w:tc>
        <w:tc>
          <w:tcPr>
            <w:tcW w:type="dxa" w:w="1152"/>
            <w:tcMar>
              <w:top w:w="45" w:type="dxa"/>
              <w:start w:w="50" w:type="dxa"/>
              <w:bottom w:w="45" w:type="dxa"/>
              <w:end w:w="50" w:type="dxa"/>
            </w:tcMar>
          </w:tcPr>
          <w:p>
            <w:pPr>
              <w:spacing w:after="0"/>
            </w:pPr>
            <w:r>
              <w:rPr>
                <w:rFonts w:ascii="Arial" w:hAnsi="Arial"/>
                <w:b w:val="0"/>
                <w:sz w:val="16"/>
              </w:rPr>
              <w:t>0.88</w:t>
            </w:r>
          </w:p>
        </w:tc>
        <w:tc>
          <w:tcPr>
            <w:tcW w:type="dxa" w:w="1800"/>
            <w:tcMar>
              <w:top w:w="45" w:type="dxa"/>
              <w:start w:w="50" w:type="dxa"/>
              <w:bottom w:w="45" w:type="dxa"/>
              <w:end w:w="50" w:type="dxa"/>
            </w:tcMar>
          </w:tcPr>
          <w:p>
            <w:pPr>
              <w:spacing w:after="0"/>
            </w:pPr>
            <w:r>
              <w:rPr>
                <w:rFonts w:ascii="Arial" w:hAnsi="Arial"/>
                <w:b w:val="0"/>
                <w:sz w:val="16"/>
              </w:rPr>
              <w:t>0.5 to 4</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 map Rline</w:t>
            </w:r>
          </w:p>
        </w:tc>
        <w:tc>
          <w:tcPr>
            <w:tcW w:type="dxa" w:w="4176"/>
            <w:tcMar>
              <w:top w:w="45" w:type="dxa"/>
              <w:start w:w="50" w:type="dxa"/>
              <w:bottom w:w="45" w:type="dxa"/>
              <w:end w:w="50" w:type="dxa"/>
            </w:tcMar>
          </w:tcPr>
          <w:p>
            <w:pPr>
              <w:spacing w:after="0"/>
            </w:pPr>
            <w:r>
              <w:rPr>
                <w:rFonts w:ascii="Arial" w:hAnsi="Arial"/>
                <w:b w:val="0"/>
                <w:sz w:val="16"/>
              </w:rPr>
              <w:t>Fan design efficiency anchor used to scale the generic fan map efficiency to the simulated engine.</w:t>
            </w:r>
          </w:p>
        </w:tc>
        <w:tc>
          <w:tcPr>
            <w:tcW w:type="dxa" w:w="1152"/>
            <w:tcMar>
              <w:top w:w="45" w:type="dxa"/>
              <w:start w:w="50" w:type="dxa"/>
              <w:bottom w:w="45" w:type="dxa"/>
              <w:end w:w="50" w:type="dxa"/>
            </w:tcMar>
          </w:tcPr>
          <w:p>
            <w:pPr>
              <w:spacing w:after="0"/>
            </w:pPr>
            <w:r>
              <w:rPr>
                <w:rFonts w:ascii="Arial" w:hAnsi="Arial"/>
                <w:b w:val="0"/>
                <w:sz w:val="16"/>
              </w:rPr>
              <w:t>2.2</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bl>
    <w:p>
      <w:pPr>
        <w:spacing w:after="40"/>
      </w:pPr>
    </w:p>
    <w:p>
      <w:pPr>
        <w:keepNext/>
        <w:spacing w:before="200" w:after="100"/>
      </w:pPr>
      <w:r>
        <w:rPr>
          <w:rFonts w:ascii="Arial" w:hAnsi="Arial"/>
          <w:b/>
          <w:color w:val="1F5F8B"/>
          <w:sz w:val="24"/>
        </w:rPr>
        <w:t>LPC Map Step 4</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LPC design efficiency (map anchor)</w:t>
            </w:r>
          </w:p>
        </w:tc>
        <w:tc>
          <w:tcPr>
            <w:tcW w:type="dxa" w:w="4176"/>
            <w:tcMar>
              <w:top w:w="45" w:type="dxa"/>
              <w:start w:w="50" w:type="dxa"/>
              <w:bottom w:w="45" w:type="dxa"/>
              <w:end w:w="50" w:type="dxa"/>
            </w:tcMar>
          </w:tcPr>
          <w:p>
            <w:pPr>
              <w:spacing w:after="0"/>
            </w:pPr>
            <w:r>
              <w:rPr>
                <w:rFonts w:ascii="Arial" w:hAnsi="Arial"/>
                <w:b w:val="0"/>
                <w:sz w:val="16"/>
              </w:rPr>
              <w:t>Selected fan-map Rline operating coordinate used by the staged map solution.</w:t>
            </w:r>
          </w:p>
        </w:tc>
        <w:tc>
          <w:tcPr>
            <w:tcW w:type="dxa" w:w="1152"/>
            <w:tcMar>
              <w:top w:w="45" w:type="dxa"/>
              <w:start w:w="50" w:type="dxa"/>
              <w:bottom w:w="45" w:type="dxa"/>
              <w:end w:w="50" w:type="dxa"/>
            </w:tcMar>
          </w:tcPr>
          <w:p>
            <w:pPr>
              <w:spacing w:after="0"/>
            </w:pPr>
            <w:r>
              <w:rPr>
                <w:rFonts w:ascii="Arial" w:hAnsi="Arial"/>
                <w:b w:val="0"/>
                <w:sz w:val="16"/>
              </w:rPr>
              <w:t>0.86</w:t>
            </w:r>
          </w:p>
        </w:tc>
        <w:tc>
          <w:tcPr>
            <w:tcW w:type="dxa" w:w="1800"/>
            <w:tcMar>
              <w:top w:w="45" w:type="dxa"/>
              <w:start w:w="50" w:type="dxa"/>
              <w:bottom w:w="45" w:type="dxa"/>
              <w:end w:w="50" w:type="dxa"/>
            </w:tcMar>
          </w:tcPr>
          <w:p>
            <w:pPr>
              <w:spacing w:after="0"/>
            </w:pPr>
            <w:r>
              <w:rPr>
                <w:rFonts w:ascii="Arial" w:hAnsi="Arial"/>
                <w:b w:val="0"/>
                <w:sz w:val="16"/>
              </w:rPr>
              <w:t>1 to 3</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LPC map Rline</w:t>
            </w:r>
          </w:p>
        </w:tc>
        <w:tc>
          <w:tcPr>
            <w:tcW w:type="dxa" w:w="4176"/>
            <w:tcMar>
              <w:top w:w="45" w:type="dxa"/>
              <w:start w:w="50" w:type="dxa"/>
              <w:bottom w:w="45" w:type="dxa"/>
              <w:end w:w="50" w:type="dxa"/>
            </w:tcMar>
          </w:tcPr>
          <w:p>
            <w:pPr>
              <w:spacing w:after="0"/>
            </w:pPr>
            <w:r>
              <w:rPr>
                <w:rFonts w:ascii="Arial" w:hAnsi="Arial"/>
                <w:b w:val="0"/>
                <w:sz w:val="16"/>
              </w:rPr>
              <w:t>LPC/booster design efficiency anchor used to scale the generic LPC map.</w:t>
            </w:r>
          </w:p>
        </w:tc>
        <w:tc>
          <w:tcPr>
            <w:tcW w:type="dxa" w:w="1152"/>
            <w:tcMar>
              <w:top w:w="45" w:type="dxa"/>
              <w:start w:w="50" w:type="dxa"/>
              <w:bottom w:w="45" w:type="dxa"/>
              <w:end w:w="50" w:type="dxa"/>
            </w:tcMar>
          </w:tcPr>
          <w:p>
            <w:pPr>
              <w:spacing w:after="0"/>
            </w:pPr>
            <w:r>
              <w:rPr>
                <w:rFonts w:ascii="Arial" w:hAnsi="Arial"/>
                <w:b w:val="0"/>
                <w:sz w:val="16"/>
              </w:rPr>
              <w:t>2.15</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bl>
    <w:p>
      <w:pPr>
        <w:spacing w:after="40"/>
      </w:pPr>
    </w:p>
    <w:p>
      <w:pPr>
        <w:keepNext/>
        <w:spacing w:before="200" w:after="100"/>
      </w:pPr>
      <w:r>
        <w:rPr>
          <w:rFonts w:ascii="Arial" w:hAnsi="Arial"/>
          <w:b/>
          <w:color w:val="1F5F8B"/>
          <w:sz w:val="24"/>
        </w:rPr>
        <w:t>HPC Map Step 1</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HPC design pressure ratio</w:t>
            </w:r>
          </w:p>
        </w:tc>
        <w:tc>
          <w:tcPr>
            <w:tcW w:type="dxa" w:w="4176"/>
            <w:tcMar>
              <w:top w:w="45" w:type="dxa"/>
              <w:start w:w="50" w:type="dxa"/>
              <w:bottom w:w="45" w:type="dxa"/>
              <w:end w:w="50" w:type="dxa"/>
            </w:tcMar>
          </w:tcPr>
          <w:p>
            <w:pPr>
              <w:spacing w:after="0"/>
            </w:pPr>
            <w:r>
              <w:rPr>
                <w:rFonts w:ascii="Arial" w:hAnsi="Arial"/>
                <w:b w:val="0"/>
                <w:sz w:val="16"/>
              </w:rPr>
              <w:t>HPC design-point pressure-ratio scaling anchor, Pt3/Pt25, applied to the generic HPC map.</w:t>
            </w:r>
          </w:p>
        </w:tc>
        <w:tc>
          <w:tcPr>
            <w:tcW w:type="dxa" w:w="1152"/>
            <w:tcMar>
              <w:top w:w="45" w:type="dxa"/>
              <w:start w:w="50" w:type="dxa"/>
              <w:bottom w:w="45" w:type="dxa"/>
              <w:end w:w="50" w:type="dxa"/>
            </w:tcMar>
          </w:tcPr>
          <w:p>
            <w:pPr>
              <w:spacing w:after="0"/>
            </w:pPr>
            <w:r>
              <w:rPr>
                <w:rFonts w:ascii="Arial" w:hAnsi="Arial"/>
                <w:b w:val="0"/>
                <w:sz w:val="16"/>
              </w:rPr>
              <w:t>11 Pt3/Pt25</w:t>
            </w:r>
          </w:p>
        </w:tc>
        <w:tc>
          <w:tcPr>
            <w:tcW w:type="dxa" w:w="1800"/>
            <w:tcMar>
              <w:top w:w="45" w:type="dxa"/>
              <w:start w:w="50" w:type="dxa"/>
              <w:bottom w:w="45" w:type="dxa"/>
              <w:end w:w="50" w:type="dxa"/>
            </w:tcMar>
          </w:tcPr>
          <w:p>
            <w:pPr>
              <w:spacing w:after="0"/>
            </w:pPr>
            <w:r>
              <w:rPr>
                <w:rFonts w:ascii="Arial" w:hAnsi="Arial"/>
                <w:b w:val="0"/>
                <w:sz w:val="16"/>
              </w:rPr>
              <w:t>5 to 20 Pt3/Pt25</w:t>
            </w:r>
          </w:p>
        </w:tc>
        <w:tc>
          <w:tcPr>
            <w:tcW w:type="dxa" w:w="1080"/>
            <w:tcMar>
              <w:top w:w="45" w:type="dxa"/>
              <w:start w:w="50" w:type="dxa"/>
              <w:bottom w:w="45" w:type="dxa"/>
              <w:end w:w="50" w:type="dxa"/>
            </w:tcMar>
          </w:tcPr>
          <w:p>
            <w:pPr>
              <w:spacing w:after="0"/>
            </w:pPr>
            <w:r>
              <w:rPr>
                <w:rFonts w:ascii="Arial" w:hAnsi="Arial"/>
                <w:b w:val="0"/>
                <w:sz w:val="16"/>
              </w:rPr>
              <w:t>0.05 Pt3/Pt25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HPC design efficiency</w:t>
            </w:r>
          </w:p>
        </w:tc>
        <w:tc>
          <w:tcPr>
            <w:tcW w:type="dxa" w:w="4176"/>
            <w:tcMar>
              <w:top w:w="45" w:type="dxa"/>
              <w:start w:w="50" w:type="dxa"/>
              <w:bottom w:w="45" w:type="dxa"/>
              <w:end w:w="50" w:type="dxa"/>
            </w:tcMar>
          </w:tcPr>
          <w:p>
            <w:pPr>
              <w:spacing w:after="0"/>
            </w:pPr>
            <w:r>
              <w:rPr>
                <w:rFonts w:ascii="Arial" w:hAnsi="Arial"/>
                <w:b w:val="0"/>
                <w:sz w:val="16"/>
              </w:rPr>
              <w:t>HPC design-point efficiency scaling anchor applied to the generic HPC map.</w:t>
            </w:r>
          </w:p>
        </w:tc>
        <w:tc>
          <w:tcPr>
            <w:tcW w:type="dxa" w:w="1152"/>
            <w:tcMar>
              <w:top w:w="45" w:type="dxa"/>
              <w:start w:w="50" w:type="dxa"/>
              <w:bottom w:w="45" w:type="dxa"/>
              <w:end w:w="50" w:type="dxa"/>
            </w:tcMar>
          </w:tcPr>
          <w:p>
            <w:pPr>
              <w:spacing w:after="0"/>
            </w:pPr>
            <w:r>
              <w:rPr>
                <w:rFonts w:ascii="Arial" w:hAnsi="Arial"/>
                <w:b w:val="0"/>
                <w:sz w:val="16"/>
              </w:rPr>
              <w:t>0.86</w:t>
            </w:r>
          </w:p>
        </w:tc>
        <w:tc>
          <w:tcPr>
            <w:tcW w:type="dxa" w:w="1800"/>
            <w:tcMar>
              <w:top w:w="45" w:type="dxa"/>
              <w:start w:w="50" w:type="dxa"/>
              <w:bottom w:w="45" w:type="dxa"/>
              <w:end w:w="50" w:type="dxa"/>
            </w:tcMar>
          </w:tcPr>
          <w:p>
            <w:pPr>
              <w:spacing w:after="0"/>
            </w:pPr>
            <w:r>
              <w:rPr>
                <w:rFonts w:ascii="Arial" w:hAnsi="Arial"/>
                <w:b w:val="0"/>
                <w:sz w:val="16"/>
              </w:rPr>
              <w:t>0.6 to 0.95</w:t>
            </w:r>
          </w:p>
        </w:tc>
        <w:tc>
          <w:tcPr>
            <w:tcW w:type="dxa" w:w="1080"/>
            <w:tcMar>
              <w:top w:w="45" w:type="dxa"/>
              <w:start w:w="50" w:type="dxa"/>
              <w:bottom w:w="45" w:type="dxa"/>
              <w:end w:w="50" w:type="dxa"/>
            </w:tcMar>
          </w:tcPr>
          <w:p>
            <w:pPr>
              <w:spacing w:after="0"/>
            </w:pPr>
            <w:r>
              <w:rPr>
                <w:rFonts w:ascii="Arial" w:hAnsi="Arial"/>
                <w:b w:val="0"/>
                <w:sz w:val="16"/>
              </w:rPr>
              <w:t>0.0025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HPC map Rline</w:t>
            </w:r>
          </w:p>
        </w:tc>
        <w:tc>
          <w:tcPr>
            <w:tcW w:type="dxa" w:w="4176"/>
            <w:tcMar>
              <w:top w:w="45" w:type="dxa"/>
              <w:start w:w="50" w:type="dxa"/>
              <w:bottom w:w="45" w:type="dxa"/>
              <w:end w:w="50" w:type="dxa"/>
            </w:tcMar>
          </w:tcPr>
          <w:p>
            <w:pPr>
              <w:spacing w:after="0"/>
            </w:pPr>
            <w:r>
              <w:rPr>
                <w:rFonts w:ascii="Arial" w:hAnsi="Arial"/>
                <w:b w:val="0"/>
                <w:sz w:val="16"/>
              </w:rPr>
              <w:t>Selected HPC map Rline operating coordinate used while the staged model does not solve Rline as a full nonlinear cycle variable.</w:t>
            </w:r>
          </w:p>
        </w:tc>
        <w:tc>
          <w:tcPr>
            <w:tcW w:type="dxa" w:w="1152"/>
            <w:tcMar>
              <w:top w:w="45" w:type="dxa"/>
              <w:start w:w="50" w:type="dxa"/>
              <w:bottom w:w="45" w:type="dxa"/>
              <w:end w:w="50" w:type="dxa"/>
            </w:tcMar>
          </w:tcPr>
          <w:p>
            <w:pPr>
              <w:spacing w:after="0"/>
            </w:pPr>
            <w:r>
              <w:rPr>
                <w:rFonts w:ascii="Arial" w:hAnsi="Arial"/>
                <w:b w:val="0"/>
                <w:sz w:val="16"/>
              </w:rPr>
              <w:t>2.05</w:t>
            </w:r>
          </w:p>
        </w:tc>
        <w:tc>
          <w:tcPr>
            <w:tcW w:type="dxa" w:w="1800"/>
            <w:tcMar>
              <w:top w:w="45" w:type="dxa"/>
              <w:start w:w="50" w:type="dxa"/>
              <w:bottom w:w="45" w:type="dxa"/>
              <w:end w:w="50" w:type="dxa"/>
            </w:tcMar>
          </w:tcPr>
          <w:p>
            <w:pPr>
              <w:spacing w:after="0"/>
            </w:pPr>
            <w:r>
              <w:rPr>
                <w:rFonts w:ascii="Arial" w:hAnsi="Arial"/>
                <w:b w:val="0"/>
                <w:sz w:val="16"/>
              </w:rPr>
              <w:t>1 to 3</w:t>
            </w:r>
          </w:p>
        </w:tc>
        <w:tc>
          <w:tcPr>
            <w:tcW w:type="dxa" w:w="1080"/>
            <w:tcMar>
              <w:top w:w="45" w:type="dxa"/>
              <w:start w:w="50" w:type="dxa"/>
              <w:bottom w:w="45" w:type="dxa"/>
              <w:end w:w="50" w:type="dxa"/>
            </w:tcMar>
          </w:tcPr>
          <w:p>
            <w:pPr>
              <w:spacing w:after="0"/>
            </w:pPr>
            <w:r>
              <w:rPr>
                <w:rFonts w:ascii="Arial" w:hAnsi="Arial"/>
                <w:b w:val="0"/>
                <w:sz w:val="16"/>
              </w:rPr>
              <w:t>0.05</w:t>
            </w:r>
          </w:p>
        </w:tc>
      </w:tr>
    </w:tbl>
    <w:p>
      <w:pPr>
        <w:spacing w:after="40"/>
      </w:pPr>
    </w:p>
    <w:p>
      <w:pPr>
        <w:keepNext/>
        <w:spacing w:before="200" w:after="100"/>
      </w:pPr>
      <w:r>
        <w:rPr>
          <w:rFonts w:ascii="Arial" w:hAnsi="Arial"/>
          <w:b/>
          <w:color w:val="1F5F8B"/>
          <w:sz w:val="24"/>
        </w:rPr>
        <w:t>Spool Dynamics</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N1 spool inertia</w:t>
            </w:r>
          </w:p>
        </w:tc>
        <w:tc>
          <w:tcPr>
            <w:tcW w:type="dxa" w:w="4176"/>
            <w:tcMar>
              <w:top w:w="45" w:type="dxa"/>
              <w:start w:w="50" w:type="dxa"/>
              <w:bottom w:w="45" w:type="dxa"/>
              <w:end w:w="50" w:type="dxa"/>
            </w:tcMar>
          </w:tcPr>
          <w:p>
            <w:pPr>
              <w:spacing w:after="0"/>
            </w:pPr>
            <w:r>
              <w:rPr>
                <w:rFonts w:ascii="Arial" w:hAnsi="Arial"/>
                <w:b w:val="0"/>
                <w:sz w:val="16"/>
              </w:rPr>
              <w:t>Rotational inertia of the LP spool (fan + booster/LPC + LPT); higher inertia slows N1 acceleration and deceleration for a given net torque.</w:t>
            </w:r>
          </w:p>
        </w:tc>
        <w:tc>
          <w:tcPr>
            <w:tcW w:type="dxa" w:w="1152"/>
            <w:tcMar>
              <w:top w:w="45" w:type="dxa"/>
              <w:start w:w="50" w:type="dxa"/>
              <w:bottom w:w="45" w:type="dxa"/>
              <w:end w:w="50" w:type="dxa"/>
            </w:tcMar>
          </w:tcPr>
          <w:p>
            <w:pPr>
              <w:spacing w:after="0"/>
            </w:pPr>
            <w:r>
              <w:rPr>
                <w:rFonts w:ascii="Arial" w:hAnsi="Arial"/>
                <w:b w:val="0"/>
                <w:sz w:val="16"/>
              </w:rPr>
              <w:t>55 kg m2</w:t>
            </w:r>
          </w:p>
        </w:tc>
        <w:tc>
          <w:tcPr>
            <w:tcW w:type="dxa" w:w="1800"/>
            <w:tcMar>
              <w:top w:w="45" w:type="dxa"/>
              <w:start w:w="50" w:type="dxa"/>
              <w:bottom w:w="45" w:type="dxa"/>
              <w:end w:w="50" w:type="dxa"/>
            </w:tcMar>
          </w:tcPr>
          <w:p>
            <w:pPr>
              <w:spacing w:after="0"/>
            </w:pPr>
            <w:r>
              <w:rPr>
                <w:rFonts w:ascii="Arial" w:hAnsi="Arial"/>
                <w:b w:val="0"/>
                <w:sz w:val="16"/>
              </w:rPr>
              <w:t>20 to 250 kg m2</w:t>
            </w:r>
          </w:p>
        </w:tc>
        <w:tc>
          <w:tcPr>
            <w:tcW w:type="dxa" w:w="1080"/>
            <w:tcMar>
              <w:top w:w="45" w:type="dxa"/>
              <w:start w:w="50" w:type="dxa"/>
              <w:bottom w:w="45" w:type="dxa"/>
              <w:end w:w="50" w:type="dxa"/>
            </w:tcMar>
          </w:tcPr>
          <w:p>
            <w:pPr>
              <w:spacing w:after="0"/>
            </w:pPr>
            <w:r>
              <w:rPr>
                <w:rFonts w:ascii="Arial" w:hAnsi="Arial"/>
                <w:b w:val="0"/>
                <w:sz w:val="16"/>
              </w:rPr>
              <w:t>1 kg m2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spool inertia</w:t>
            </w:r>
          </w:p>
        </w:tc>
        <w:tc>
          <w:tcPr>
            <w:tcW w:type="dxa" w:w="4176"/>
            <w:tcMar>
              <w:top w:w="45" w:type="dxa"/>
              <w:start w:w="50" w:type="dxa"/>
              <w:bottom w:w="45" w:type="dxa"/>
              <w:end w:w="50" w:type="dxa"/>
            </w:tcMar>
          </w:tcPr>
          <w:p>
            <w:pPr>
              <w:spacing w:after="0"/>
            </w:pPr>
            <w:r>
              <w:rPr>
                <w:rFonts w:ascii="Arial" w:hAnsi="Arial"/>
                <w:b w:val="0"/>
                <w:sz w:val="16"/>
              </w:rPr>
              <w:t>Rotational inertia of the HP spool (HPC + HPT); higher inertia slows N2 acceleration and deceleration for a given net torque.</w:t>
            </w:r>
          </w:p>
        </w:tc>
        <w:tc>
          <w:tcPr>
            <w:tcW w:type="dxa" w:w="1152"/>
            <w:tcMar>
              <w:top w:w="45" w:type="dxa"/>
              <w:start w:w="50" w:type="dxa"/>
              <w:bottom w:w="45" w:type="dxa"/>
              <w:end w:w="50" w:type="dxa"/>
            </w:tcMar>
          </w:tcPr>
          <w:p>
            <w:pPr>
              <w:spacing w:after="0"/>
            </w:pPr>
            <w:r>
              <w:rPr>
                <w:rFonts w:ascii="Arial" w:hAnsi="Arial"/>
                <w:b w:val="0"/>
                <w:sz w:val="16"/>
              </w:rPr>
              <w:t>12 kg m2</w:t>
            </w:r>
          </w:p>
        </w:tc>
        <w:tc>
          <w:tcPr>
            <w:tcW w:type="dxa" w:w="1800"/>
            <w:tcMar>
              <w:top w:w="45" w:type="dxa"/>
              <w:start w:w="50" w:type="dxa"/>
              <w:bottom w:w="45" w:type="dxa"/>
              <w:end w:w="50" w:type="dxa"/>
            </w:tcMar>
          </w:tcPr>
          <w:p>
            <w:pPr>
              <w:spacing w:after="0"/>
            </w:pPr>
            <w:r>
              <w:rPr>
                <w:rFonts w:ascii="Arial" w:hAnsi="Arial"/>
                <w:b w:val="0"/>
                <w:sz w:val="16"/>
              </w:rPr>
              <w:t>2 to 60 kg m2</w:t>
            </w:r>
          </w:p>
        </w:tc>
        <w:tc>
          <w:tcPr>
            <w:tcW w:type="dxa" w:w="1080"/>
            <w:tcMar>
              <w:top w:w="45" w:type="dxa"/>
              <w:start w:w="50" w:type="dxa"/>
              <w:bottom w:w="45" w:type="dxa"/>
              <w:end w:w="50" w:type="dxa"/>
            </w:tcMar>
          </w:tcPr>
          <w:p>
            <w:pPr>
              <w:spacing w:after="0"/>
            </w:pPr>
            <w:r>
              <w:rPr>
                <w:rFonts w:ascii="Arial" w:hAnsi="Arial"/>
                <w:b w:val="0"/>
                <w:sz w:val="16"/>
              </w:rPr>
              <w:t>0.5 kg m2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N1 friction coefficient</w:t>
            </w:r>
          </w:p>
        </w:tc>
        <w:tc>
          <w:tcPr>
            <w:tcW w:type="dxa" w:w="4176"/>
            <w:tcMar>
              <w:top w:w="45" w:type="dxa"/>
              <w:start w:w="50" w:type="dxa"/>
              <w:bottom w:w="45" w:type="dxa"/>
              <w:end w:w="50" w:type="dxa"/>
            </w:tcMar>
          </w:tcPr>
          <w:p>
            <w:pPr>
              <w:spacing w:after="0"/>
            </w:pPr>
            <w:r>
              <w:rPr>
                <w:rFonts w:ascii="Arial" w:hAnsi="Arial"/>
                <w:b w:val="0"/>
                <w:sz w:val="16"/>
              </w:rPr>
              <w:t>LP-spool friction coefficient used in the shaft-load model.</w:t>
            </w:r>
          </w:p>
        </w:tc>
        <w:tc>
          <w:tcPr>
            <w:tcW w:type="dxa" w:w="1152"/>
            <w:tcMar>
              <w:top w:w="45" w:type="dxa"/>
              <w:start w:w="50" w:type="dxa"/>
              <w:bottom w:w="45" w:type="dxa"/>
              <w:end w:w="50" w:type="dxa"/>
            </w:tcMar>
          </w:tcPr>
          <w:p>
            <w:pPr>
              <w:spacing w:after="0"/>
            </w:pPr>
            <w:r>
              <w:rPr>
                <w:rFonts w:ascii="Arial" w:hAnsi="Arial"/>
                <w:b w:val="0"/>
                <w:sz w:val="16"/>
              </w:rPr>
              <w:t>0.06</w:t>
            </w:r>
          </w:p>
        </w:tc>
        <w:tc>
          <w:tcPr>
            <w:tcW w:type="dxa" w:w="1800"/>
            <w:tcMar>
              <w:top w:w="45" w:type="dxa"/>
              <w:start w:w="50" w:type="dxa"/>
              <w:bottom w:w="45" w:type="dxa"/>
              <w:end w:w="50" w:type="dxa"/>
            </w:tcMar>
          </w:tcPr>
          <w:p>
            <w:pPr>
              <w:spacing w:after="0"/>
            </w:pPr>
            <w:r>
              <w:rPr>
                <w:rFonts w:ascii="Arial" w:hAnsi="Arial"/>
                <w:b w:val="0"/>
                <w:sz w:val="16"/>
              </w:rPr>
              <w:t>0 to 0.2</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friction coefficient</w:t>
            </w:r>
          </w:p>
        </w:tc>
        <w:tc>
          <w:tcPr>
            <w:tcW w:type="dxa" w:w="4176"/>
            <w:tcMar>
              <w:top w:w="45" w:type="dxa"/>
              <w:start w:w="50" w:type="dxa"/>
              <w:bottom w:w="45" w:type="dxa"/>
              <w:end w:w="50" w:type="dxa"/>
            </w:tcMar>
          </w:tcPr>
          <w:p>
            <w:pPr>
              <w:spacing w:after="0"/>
            </w:pPr>
            <w:r>
              <w:rPr>
                <w:rFonts w:ascii="Arial" w:hAnsi="Arial"/>
                <w:b w:val="0"/>
                <w:sz w:val="16"/>
              </w:rPr>
              <w:t>HP-spool friction coefficient used in the shaft-load model.</w:t>
            </w:r>
          </w:p>
        </w:tc>
        <w:tc>
          <w:tcPr>
            <w:tcW w:type="dxa" w:w="1152"/>
            <w:tcMar>
              <w:top w:w="45" w:type="dxa"/>
              <w:start w:w="50" w:type="dxa"/>
              <w:bottom w:w="45" w:type="dxa"/>
              <w:end w:w="50" w:type="dxa"/>
            </w:tcMar>
          </w:tcPr>
          <w:p>
            <w:pPr>
              <w:spacing w:after="0"/>
            </w:pPr>
            <w:r>
              <w:rPr>
                <w:rFonts w:ascii="Arial" w:hAnsi="Arial"/>
                <w:b w:val="0"/>
                <w:sz w:val="16"/>
              </w:rPr>
              <w:t>0.02</w:t>
            </w:r>
          </w:p>
        </w:tc>
        <w:tc>
          <w:tcPr>
            <w:tcW w:type="dxa" w:w="1800"/>
            <w:tcMar>
              <w:top w:w="45" w:type="dxa"/>
              <w:start w:w="50" w:type="dxa"/>
              <w:bottom w:w="45" w:type="dxa"/>
              <w:end w:w="50" w:type="dxa"/>
            </w:tcMar>
          </w:tcPr>
          <w:p>
            <w:pPr>
              <w:spacing w:after="0"/>
            </w:pPr>
            <w:r>
              <w:rPr>
                <w:rFonts w:ascii="Arial" w:hAnsi="Arial"/>
                <w:b w:val="0"/>
                <w:sz w:val="16"/>
              </w:rPr>
              <w:t>0 to 0.12</w:t>
            </w:r>
          </w:p>
        </w:tc>
        <w:tc>
          <w:tcPr>
            <w:tcW w:type="dxa" w:w="1080"/>
            <w:tcMar>
              <w:top w:w="45" w:type="dxa"/>
              <w:start w:w="50" w:type="dxa"/>
              <w:bottom w:w="45" w:type="dxa"/>
              <w:end w:w="50" w:type="dxa"/>
            </w:tcMar>
          </w:tcPr>
          <w:p>
            <w:pPr>
              <w:spacing w:after="0"/>
            </w:pPr>
            <w:r>
              <w:rPr>
                <w:rFonts w:ascii="Arial" w:hAnsi="Arial"/>
                <w:b w:val="0"/>
                <w:sz w:val="16"/>
              </w:rPr>
              <w:t>0.002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accessory load</w:t>
            </w:r>
          </w:p>
        </w:tc>
        <w:tc>
          <w:tcPr>
            <w:tcW w:type="dxa" w:w="4176"/>
            <w:tcMar>
              <w:top w:w="45" w:type="dxa"/>
              <w:start w:w="50" w:type="dxa"/>
              <w:bottom w:w="45" w:type="dxa"/>
              <w:end w:w="50" w:type="dxa"/>
            </w:tcMar>
          </w:tcPr>
          <w:p>
            <w:pPr>
              <w:spacing w:after="0"/>
            </w:pPr>
            <w:r>
              <w:rPr>
                <w:rFonts w:ascii="Arial" w:hAnsi="Arial"/>
                <w:b w:val="0"/>
                <w:sz w:val="16"/>
              </w:rPr>
              <w:t>Mechanical accessory load removed from the N2/HP spool.</w:t>
            </w:r>
          </w:p>
        </w:tc>
        <w:tc>
          <w:tcPr>
            <w:tcW w:type="dxa" w:w="1152"/>
            <w:tcMar>
              <w:top w:w="45" w:type="dxa"/>
              <w:start w:w="50" w:type="dxa"/>
              <w:bottom w:w="45" w:type="dxa"/>
              <w:end w:w="50" w:type="dxa"/>
            </w:tcMar>
          </w:tcPr>
          <w:p>
            <w:pPr>
              <w:spacing w:after="0"/>
            </w:pPr>
            <w:r>
              <w:rPr>
                <w:rFonts w:ascii="Arial" w:hAnsi="Arial"/>
                <w:b w:val="0"/>
                <w:sz w:val="16"/>
              </w:rPr>
              <w:t>10 kW</w:t>
            </w:r>
          </w:p>
        </w:tc>
        <w:tc>
          <w:tcPr>
            <w:tcW w:type="dxa" w:w="1800"/>
            <w:tcMar>
              <w:top w:w="45" w:type="dxa"/>
              <w:start w:w="50" w:type="dxa"/>
              <w:bottom w:w="45" w:type="dxa"/>
              <w:end w:w="50" w:type="dxa"/>
            </w:tcMar>
          </w:tcPr>
          <w:p>
            <w:pPr>
              <w:spacing w:after="0"/>
            </w:pPr>
            <w:r>
              <w:rPr>
                <w:rFonts w:ascii="Arial" w:hAnsi="Arial"/>
                <w:b w:val="0"/>
                <w:sz w:val="16"/>
              </w:rPr>
              <w:t>0 to 100 kW</w:t>
            </w:r>
          </w:p>
        </w:tc>
        <w:tc>
          <w:tcPr>
            <w:tcW w:type="dxa" w:w="1080"/>
            <w:tcMar>
              <w:top w:w="45" w:type="dxa"/>
              <w:start w:w="50" w:type="dxa"/>
              <w:bottom w:w="45" w:type="dxa"/>
              <w:end w:w="50" w:type="dxa"/>
            </w:tcMar>
          </w:tcPr>
          <w:p>
            <w:pPr>
              <w:spacing w:after="0"/>
            </w:pPr>
            <w:r>
              <w:rPr>
                <w:rFonts w:ascii="Arial" w:hAnsi="Arial"/>
                <w:b w:val="0"/>
                <w:sz w:val="16"/>
              </w:rPr>
              <w:t>1 kW</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Physics time step</w:t>
            </w:r>
          </w:p>
        </w:tc>
        <w:tc>
          <w:tcPr>
            <w:tcW w:type="dxa" w:w="4176"/>
            <w:tcMar>
              <w:top w:w="45" w:type="dxa"/>
              <w:start w:w="50" w:type="dxa"/>
              <w:bottom w:w="45" w:type="dxa"/>
              <w:end w:w="50" w:type="dxa"/>
            </w:tcMar>
          </w:tcPr>
          <w:p>
            <w:pPr>
              <w:spacing w:after="0"/>
            </w:pPr>
            <w:r>
              <w:rPr>
                <w:rFonts w:ascii="Arial" w:hAnsi="Arial"/>
                <w:b w:val="0"/>
                <w:sz w:val="16"/>
              </w:rPr>
              <w:t>Engine physics integration time step used by the dynamic model.</w:t>
            </w:r>
          </w:p>
        </w:tc>
        <w:tc>
          <w:tcPr>
            <w:tcW w:type="dxa" w:w="1152"/>
            <w:tcMar>
              <w:top w:w="45" w:type="dxa"/>
              <w:start w:w="50" w:type="dxa"/>
              <w:bottom w:w="45" w:type="dxa"/>
              <w:end w:w="50" w:type="dxa"/>
            </w:tcMar>
          </w:tcPr>
          <w:p>
            <w:pPr>
              <w:spacing w:after="0"/>
            </w:pPr>
            <w:r>
              <w:rPr>
                <w:rFonts w:ascii="Arial" w:hAnsi="Arial"/>
                <w:b w:val="0"/>
                <w:sz w:val="16"/>
              </w:rPr>
              <w:t>0.005 s</w:t>
            </w:r>
          </w:p>
        </w:tc>
        <w:tc>
          <w:tcPr>
            <w:tcW w:type="dxa" w:w="1800"/>
            <w:tcMar>
              <w:top w:w="45" w:type="dxa"/>
              <w:start w:w="50" w:type="dxa"/>
              <w:bottom w:w="45" w:type="dxa"/>
              <w:end w:w="50" w:type="dxa"/>
            </w:tcMar>
          </w:tcPr>
          <w:p>
            <w:pPr>
              <w:spacing w:after="0"/>
            </w:pPr>
            <w:r>
              <w:rPr>
                <w:rFonts w:ascii="Arial" w:hAnsi="Arial"/>
                <w:b w:val="0"/>
                <w:sz w:val="16"/>
              </w:rPr>
              <w:t>0.001 to 0.02 s</w:t>
            </w:r>
          </w:p>
        </w:tc>
        <w:tc>
          <w:tcPr>
            <w:tcW w:type="dxa" w:w="1080"/>
            <w:tcMar>
              <w:top w:w="45" w:type="dxa"/>
              <w:start w:w="50" w:type="dxa"/>
              <w:bottom w:w="45" w:type="dxa"/>
              <w:end w:w="50" w:type="dxa"/>
            </w:tcMar>
          </w:tcPr>
          <w:p>
            <w:pPr>
              <w:spacing w:after="0"/>
            </w:pPr>
            <w:r>
              <w:rPr>
                <w:rFonts w:ascii="Arial" w:hAnsi="Arial"/>
                <w:b w:val="0"/>
                <w:sz w:val="16"/>
              </w:rPr>
              <w:t>0.001 s</w:t>
            </w:r>
          </w:p>
        </w:tc>
      </w:tr>
    </w:tbl>
    <w:p>
      <w:pPr>
        <w:spacing w:after="40"/>
      </w:pPr>
    </w:p>
    <w:p>
      <w:pPr>
        <w:keepNext/>
        <w:spacing w:before="200" w:after="100"/>
      </w:pPr>
      <w:r>
        <w:rPr>
          <w:rFonts w:ascii="Arial" w:hAnsi="Arial"/>
          <w:b/>
          <w:color w:val="1F5F8B"/>
          <w:sz w:val="24"/>
        </w:rPr>
        <w:t>Turbine</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Shaft mechanical efficiency</w:t>
            </w:r>
          </w:p>
        </w:tc>
        <w:tc>
          <w:tcPr>
            <w:tcW w:type="dxa" w:w="4176"/>
            <w:tcMar>
              <w:top w:w="45" w:type="dxa"/>
              <w:start w:w="50" w:type="dxa"/>
              <w:bottom w:w="45" w:type="dxa"/>
              <w:end w:w="50" w:type="dxa"/>
            </w:tcMar>
          </w:tcPr>
          <w:p>
            <w:pPr>
              <w:spacing w:after="0"/>
            </w:pPr>
            <w:r>
              <w:rPr>
                <w:rFonts w:ascii="Arial" w:hAnsi="Arial"/>
                <w:b w:val="0"/>
                <w:sz w:val="16"/>
              </w:rPr>
              <w:t>Mechanical efficiency applied when converting turbine gas-path work into usable shaft work.</w:t>
            </w:r>
          </w:p>
        </w:tc>
        <w:tc>
          <w:tcPr>
            <w:tcW w:type="dxa" w:w="1152"/>
            <w:tcMar>
              <w:top w:w="45" w:type="dxa"/>
              <w:start w:w="50" w:type="dxa"/>
              <w:bottom w:w="45" w:type="dxa"/>
              <w:end w:w="50" w:type="dxa"/>
            </w:tcMar>
          </w:tcPr>
          <w:p>
            <w:pPr>
              <w:spacing w:after="0"/>
            </w:pPr>
            <w:r>
              <w:rPr>
                <w:rFonts w:ascii="Arial" w:hAnsi="Arial"/>
                <w:b w:val="0"/>
                <w:sz w:val="16"/>
              </w:rPr>
              <w:t>0.98</w:t>
            </w:r>
          </w:p>
        </w:tc>
        <w:tc>
          <w:tcPr>
            <w:tcW w:type="dxa" w:w="1800"/>
            <w:tcMar>
              <w:top w:w="45" w:type="dxa"/>
              <w:start w:w="50" w:type="dxa"/>
              <w:bottom w:w="45" w:type="dxa"/>
              <w:end w:w="50" w:type="dxa"/>
            </w:tcMar>
          </w:tcPr>
          <w:p>
            <w:pPr>
              <w:spacing w:after="0"/>
            </w:pPr>
            <w:r>
              <w:rPr>
                <w:rFonts w:ascii="Arial" w:hAnsi="Arial"/>
                <w:b w:val="0"/>
                <w:sz w:val="16"/>
              </w:rPr>
              <w:t>0.8 to 1</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map design efficiency</w:t>
            </w:r>
          </w:p>
        </w:tc>
        <w:tc>
          <w:tcPr>
            <w:tcW w:type="dxa" w:w="4176"/>
            <w:tcMar>
              <w:top w:w="45" w:type="dxa"/>
              <w:start w:w="50" w:type="dxa"/>
              <w:bottom w:w="45" w:type="dxa"/>
              <w:end w:w="50" w:type="dxa"/>
            </w:tcMar>
          </w:tcPr>
          <w:p>
            <w:pPr>
              <w:spacing w:after="0"/>
            </w:pPr>
            <w:r>
              <w:rPr>
                <w:rFonts w:ascii="Arial" w:hAnsi="Arial"/>
                <w:b w:val="0"/>
                <w:sz w:val="16"/>
              </w:rPr>
              <w:t>HPT map design-efficiency anchor for the turbine that supplies work to the N2/HP spool.</w:t>
            </w:r>
          </w:p>
        </w:tc>
        <w:tc>
          <w:tcPr>
            <w:tcW w:type="dxa" w:w="1152"/>
            <w:tcMar>
              <w:top w:w="45" w:type="dxa"/>
              <w:start w:w="50" w:type="dxa"/>
              <w:bottom w:w="45" w:type="dxa"/>
              <w:end w:w="50" w:type="dxa"/>
            </w:tcMar>
          </w:tcPr>
          <w:p>
            <w:pPr>
              <w:spacing w:after="0"/>
            </w:pPr>
            <w:r>
              <w:rPr>
                <w:rFonts w:ascii="Arial" w:hAnsi="Arial"/>
                <w:b w:val="0"/>
                <w:sz w:val="16"/>
              </w:rPr>
              <w:t>0.9</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design efficiency (map anchor)</w:t>
            </w:r>
          </w:p>
        </w:tc>
        <w:tc>
          <w:tcPr>
            <w:tcW w:type="dxa" w:w="4176"/>
            <w:tcMar>
              <w:top w:w="45" w:type="dxa"/>
              <w:start w:w="50" w:type="dxa"/>
              <w:bottom w:w="45" w:type="dxa"/>
              <w:end w:w="50" w:type="dxa"/>
            </w:tcMar>
          </w:tcPr>
          <w:p>
            <w:pPr>
              <w:spacing w:after="0"/>
            </w:pPr>
            <w:r>
              <w:rPr>
                <w:rFonts w:ascii="Arial" w:hAnsi="Arial"/>
                <w:b w:val="0"/>
                <w:sz w:val="16"/>
              </w:rPr>
              <w:t>LPT map design-efficiency anchor for the turbine that supplies work to the N1/LP spool.</w:t>
            </w:r>
          </w:p>
        </w:tc>
        <w:tc>
          <w:tcPr>
            <w:tcW w:type="dxa" w:w="1152"/>
            <w:tcMar>
              <w:top w:w="45" w:type="dxa"/>
              <w:start w:w="50" w:type="dxa"/>
              <w:bottom w:w="45" w:type="dxa"/>
              <w:end w:w="50" w:type="dxa"/>
            </w:tcMar>
          </w:tcPr>
          <w:p>
            <w:pPr>
              <w:spacing w:after="0"/>
            </w:pPr>
            <w:r>
              <w:rPr>
                <w:rFonts w:ascii="Arial" w:hAnsi="Arial"/>
                <w:b w:val="0"/>
                <w:sz w:val="16"/>
              </w:rPr>
              <w:t>0.91</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design expansion ratio</w:t>
            </w:r>
          </w:p>
        </w:tc>
        <w:tc>
          <w:tcPr>
            <w:tcW w:type="dxa" w:w="4176"/>
            <w:tcMar>
              <w:top w:w="45" w:type="dxa"/>
              <w:start w:w="50" w:type="dxa"/>
              <w:bottom w:w="45" w:type="dxa"/>
              <w:end w:w="50" w:type="dxa"/>
            </w:tcMar>
          </w:tcPr>
          <w:p>
            <w:pPr>
              <w:spacing w:after="0"/>
            </w:pPr>
            <w:r>
              <w:rPr>
                <w:rFonts w:ascii="Arial" w:hAnsi="Arial"/>
                <w:b w:val="0"/>
                <w:sz w:val="16"/>
              </w:rPr>
              <w:t>HPT design total-pressure expansion ratio used to scale the HPT map/expansion solution.</w:t>
            </w:r>
          </w:p>
        </w:tc>
        <w:tc>
          <w:tcPr>
            <w:tcW w:type="dxa" w:w="1152"/>
            <w:tcMar>
              <w:top w:w="45" w:type="dxa"/>
              <w:start w:w="50" w:type="dxa"/>
              <w:bottom w:w="45" w:type="dxa"/>
              <w:end w:w="50" w:type="dxa"/>
            </w:tcMar>
          </w:tcPr>
          <w:p>
            <w:pPr>
              <w:spacing w:after="0"/>
            </w:pPr>
            <w:r>
              <w:rPr>
                <w:rFonts w:ascii="Arial" w:hAnsi="Arial"/>
                <w:b w:val="0"/>
                <w:sz w:val="16"/>
              </w:rPr>
              <w:t>3.8 Pt in/out</w:t>
            </w:r>
          </w:p>
        </w:tc>
        <w:tc>
          <w:tcPr>
            <w:tcW w:type="dxa" w:w="1800"/>
            <w:tcMar>
              <w:top w:w="45" w:type="dxa"/>
              <w:start w:w="50" w:type="dxa"/>
              <w:bottom w:w="45" w:type="dxa"/>
              <w:end w:w="50" w:type="dxa"/>
            </w:tcMar>
          </w:tcPr>
          <w:p>
            <w:pPr>
              <w:spacing w:after="0"/>
            </w:pPr>
            <w:r>
              <w:rPr>
                <w:rFonts w:ascii="Arial" w:hAnsi="Arial"/>
                <w:b w:val="0"/>
                <w:sz w:val="16"/>
              </w:rPr>
              <w:t>1.1 to 8 Pt in/out</w:t>
            </w:r>
          </w:p>
        </w:tc>
        <w:tc>
          <w:tcPr>
            <w:tcW w:type="dxa" w:w="1080"/>
            <w:tcMar>
              <w:top w:w="45" w:type="dxa"/>
              <w:start w:w="50" w:type="dxa"/>
              <w:bottom w:w="45" w:type="dxa"/>
              <w:end w:w="50" w:type="dxa"/>
            </w:tcMar>
          </w:tcPr>
          <w:p>
            <w:pPr>
              <w:spacing w:after="0"/>
            </w:pPr>
            <w:r>
              <w:rPr>
                <w:rFonts w:ascii="Arial" w:hAnsi="Arial"/>
                <w:b w:val="0"/>
                <w:sz w:val="16"/>
              </w:rPr>
              <w:t>0.05 Pt in/out</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design expansion ratio</w:t>
            </w:r>
          </w:p>
        </w:tc>
        <w:tc>
          <w:tcPr>
            <w:tcW w:type="dxa" w:w="4176"/>
            <w:tcMar>
              <w:top w:w="45" w:type="dxa"/>
              <w:start w:w="50" w:type="dxa"/>
              <w:bottom w:w="45" w:type="dxa"/>
              <w:end w:w="50" w:type="dxa"/>
            </w:tcMar>
          </w:tcPr>
          <w:p>
            <w:pPr>
              <w:spacing w:after="0"/>
            </w:pPr>
            <w:r>
              <w:rPr>
                <w:rFonts w:ascii="Arial" w:hAnsi="Arial"/>
                <w:b w:val="0"/>
                <w:sz w:val="16"/>
              </w:rPr>
              <w:t>LPT design total-pressure expansion ratio used to scale the LPT map/expansion solution.</w:t>
            </w:r>
          </w:p>
        </w:tc>
        <w:tc>
          <w:tcPr>
            <w:tcW w:type="dxa" w:w="1152"/>
            <w:tcMar>
              <w:top w:w="45" w:type="dxa"/>
              <w:start w:w="50" w:type="dxa"/>
              <w:bottom w:w="45" w:type="dxa"/>
              <w:end w:w="50" w:type="dxa"/>
            </w:tcMar>
          </w:tcPr>
          <w:p>
            <w:pPr>
              <w:spacing w:after="0"/>
            </w:pPr>
            <w:r>
              <w:rPr>
                <w:rFonts w:ascii="Arial" w:hAnsi="Arial"/>
                <w:b w:val="0"/>
                <w:sz w:val="16"/>
              </w:rPr>
              <w:t>3.2 Pt in/out</w:t>
            </w:r>
          </w:p>
        </w:tc>
        <w:tc>
          <w:tcPr>
            <w:tcW w:type="dxa" w:w="1800"/>
            <w:tcMar>
              <w:top w:w="45" w:type="dxa"/>
              <w:start w:w="50" w:type="dxa"/>
              <w:bottom w:w="45" w:type="dxa"/>
              <w:end w:w="50" w:type="dxa"/>
            </w:tcMar>
          </w:tcPr>
          <w:p>
            <w:pPr>
              <w:spacing w:after="0"/>
            </w:pPr>
            <w:r>
              <w:rPr>
                <w:rFonts w:ascii="Arial" w:hAnsi="Arial"/>
                <w:b w:val="0"/>
                <w:sz w:val="16"/>
              </w:rPr>
              <w:t>1.1 to 8 Pt in/out</w:t>
            </w:r>
          </w:p>
        </w:tc>
        <w:tc>
          <w:tcPr>
            <w:tcW w:type="dxa" w:w="1080"/>
            <w:tcMar>
              <w:top w:w="45" w:type="dxa"/>
              <w:start w:w="50" w:type="dxa"/>
              <w:bottom w:w="45" w:type="dxa"/>
              <w:end w:w="50" w:type="dxa"/>
            </w:tcMar>
          </w:tcPr>
          <w:p>
            <w:pPr>
              <w:spacing w:after="0"/>
            </w:pPr>
            <w:r>
              <w:rPr>
                <w:rFonts w:ascii="Arial" w:hAnsi="Arial"/>
                <w:b w:val="0"/>
                <w:sz w:val="16"/>
              </w:rPr>
              <w:t>0.05 Pt in/out</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Design T4</w:t>
            </w:r>
          </w:p>
        </w:tc>
        <w:tc>
          <w:tcPr>
            <w:tcW w:type="dxa" w:w="4176"/>
            <w:tcMar>
              <w:top w:w="45" w:type="dxa"/>
              <w:start w:w="50" w:type="dxa"/>
              <w:bottom w:w="45" w:type="dxa"/>
              <w:end w:w="50" w:type="dxa"/>
            </w:tcMar>
          </w:tcPr>
          <w:p>
            <w:pPr>
              <w:spacing w:after="0"/>
            </w:pPr>
            <w:r>
              <w:rPr>
                <w:rFonts w:ascii="Arial" w:hAnsi="Arial"/>
                <w:b w:val="0"/>
                <w:sz w:val="16"/>
              </w:rPr>
              <w:t>Design combustor-exit / turbine-inlet total temperature T4 used as a turbine scaling reference.</w:t>
            </w:r>
          </w:p>
        </w:tc>
        <w:tc>
          <w:tcPr>
            <w:tcW w:type="dxa" w:w="1152"/>
            <w:tcMar>
              <w:top w:w="45" w:type="dxa"/>
              <w:start w:w="50" w:type="dxa"/>
              <w:bottom w:w="45" w:type="dxa"/>
              <w:end w:w="50" w:type="dxa"/>
            </w:tcMar>
          </w:tcPr>
          <w:p>
            <w:pPr>
              <w:spacing w:after="0"/>
            </w:pPr>
            <w:r>
              <w:rPr>
                <w:rFonts w:ascii="Arial" w:hAnsi="Arial"/>
                <w:b w:val="0"/>
                <w:sz w:val="16"/>
              </w:rPr>
              <w:t>1,550 K</w:t>
            </w:r>
          </w:p>
        </w:tc>
        <w:tc>
          <w:tcPr>
            <w:tcW w:type="dxa" w:w="1800"/>
            <w:tcMar>
              <w:top w:w="45" w:type="dxa"/>
              <w:start w:w="50" w:type="dxa"/>
              <w:bottom w:w="45" w:type="dxa"/>
              <w:end w:w="50" w:type="dxa"/>
            </w:tcMar>
          </w:tcPr>
          <w:p>
            <w:pPr>
              <w:spacing w:after="0"/>
            </w:pPr>
            <w:r>
              <w:rPr>
                <w:rFonts w:ascii="Arial" w:hAnsi="Arial"/>
                <w:b w:val="0"/>
                <w:sz w:val="16"/>
              </w:rPr>
              <w:t>1,000 to 1,900 K</w:t>
            </w:r>
          </w:p>
        </w:tc>
        <w:tc>
          <w:tcPr>
            <w:tcW w:type="dxa" w:w="1080"/>
            <w:tcMar>
              <w:top w:w="45" w:type="dxa"/>
              <w:start w:w="50" w:type="dxa"/>
              <w:bottom w:w="45" w:type="dxa"/>
              <w:end w:w="50" w:type="dxa"/>
            </w:tcMar>
          </w:tcPr>
          <w:p>
            <w:pPr>
              <w:spacing w:after="0"/>
            </w:pPr>
            <w:r>
              <w:rPr>
                <w:rFonts w:ascii="Arial" w:hAnsi="Arial"/>
                <w:b w:val="0"/>
                <w:sz w:val="16"/>
              </w:rPr>
              <w:t>10 K</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low-speed expansion floor</w:t>
            </w:r>
          </w:p>
        </w:tc>
        <w:tc>
          <w:tcPr>
            <w:tcW w:type="dxa" w:w="4176"/>
            <w:tcMar>
              <w:top w:w="45" w:type="dxa"/>
              <w:start w:w="50" w:type="dxa"/>
              <w:bottom w:w="45" w:type="dxa"/>
              <w:end w:w="50" w:type="dxa"/>
            </w:tcMar>
          </w:tcPr>
          <w:p>
            <w:pPr>
              <w:spacing w:after="0"/>
            </w:pPr>
            <w:r>
              <w:rPr>
                <w:rFonts w:ascii="Arial" w:hAnsi="Arial"/>
                <w:b w:val="0"/>
                <w:sz w:val="16"/>
              </w:rPr>
              <w:t>Minimum low-speed contribution in the HPT off-design expansion schedule.</w:t>
            </w:r>
          </w:p>
        </w:tc>
        <w:tc>
          <w:tcPr>
            <w:tcW w:type="dxa" w:w="1152"/>
            <w:tcMar>
              <w:top w:w="45" w:type="dxa"/>
              <w:start w:w="50" w:type="dxa"/>
              <w:bottom w:w="45" w:type="dxa"/>
              <w:end w:w="50" w:type="dxa"/>
            </w:tcMar>
          </w:tcPr>
          <w:p>
            <w:pPr>
              <w:spacing w:after="0"/>
            </w:pPr>
            <w:r>
              <w:rPr>
                <w:rFonts w:ascii="Arial" w:hAnsi="Arial"/>
                <w:b w:val="0"/>
                <w:sz w:val="16"/>
              </w:rPr>
              <w:t>0.05 fraction</w:t>
            </w:r>
          </w:p>
        </w:tc>
        <w:tc>
          <w:tcPr>
            <w:tcW w:type="dxa" w:w="1800"/>
            <w:tcMar>
              <w:top w:w="45" w:type="dxa"/>
              <w:start w:w="50" w:type="dxa"/>
              <w:bottom w:w="45" w:type="dxa"/>
              <w:end w:w="50" w:type="dxa"/>
            </w:tcMar>
          </w:tcPr>
          <w:p>
            <w:pPr>
              <w:spacing w:after="0"/>
            </w:pPr>
            <w:r>
              <w:rPr>
                <w:rFonts w:ascii="Arial" w:hAnsi="Arial"/>
                <w:b w:val="0"/>
                <w:sz w:val="16"/>
              </w:rPr>
              <w:t>0.01 to 0.5 fraction</w:t>
            </w:r>
          </w:p>
        </w:tc>
        <w:tc>
          <w:tcPr>
            <w:tcW w:type="dxa" w:w="1080"/>
            <w:tcMar>
              <w:top w:w="45" w:type="dxa"/>
              <w:start w:w="50" w:type="dxa"/>
              <w:bottom w:w="45" w:type="dxa"/>
              <w:end w:w="50" w:type="dxa"/>
            </w:tcMar>
          </w:tcPr>
          <w:p>
            <w:pPr>
              <w:spacing w:after="0"/>
            </w:pPr>
            <w:r>
              <w:rPr>
                <w:rFonts w:ascii="Arial" w:hAnsi="Arial"/>
                <w:b w:val="0"/>
                <w:sz w:val="16"/>
              </w:rPr>
              <w:t>0.01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expansion speed slope</w:t>
            </w:r>
          </w:p>
        </w:tc>
        <w:tc>
          <w:tcPr>
            <w:tcW w:type="dxa" w:w="4176"/>
            <w:tcMar>
              <w:top w:w="45" w:type="dxa"/>
              <w:start w:w="50" w:type="dxa"/>
              <w:bottom w:w="45" w:type="dxa"/>
              <w:end w:w="50" w:type="dxa"/>
            </w:tcMar>
          </w:tcPr>
          <w:p>
            <w:pPr>
              <w:spacing w:after="0"/>
            </w:pPr>
            <w:r>
              <w:rPr>
                <w:rFonts w:ascii="Arial" w:hAnsi="Arial"/>
                <w:b w:val="0"/>
                <w:sz w:val="16"/>
              </w:rPr>
              <w:t>Speed-dependent multiplier coefficient in the HPT off-design expansion schedule.</w:t>
            </w:r>
          </w:p>
        </w:tc>
        <w:tc>
          <w:tcPr>
            <w:tcW w:type="dxa" w:w="1152"/>
            <w:tcMar>
              <w:top w:w="45" w:type="dxa"/>
              <w:start w:w="50" w:type="dxa"/>
              <w:bottom w:w="45" w:type="dxa"/>
              <w:end w:w="50" w:type="dxa"/>
            </w:tcMar>
          </w:tcPr>
          <w:p>
            <w:pPr>
              <w:spacing w:after="0"/>
            </w:pPr>
            <w:r>
              <w:rPr>
                <w:rFonts w:ascii="Arial" w:hAnsi="Arial"/>
                <w:b w:val="0"/>
                <w:sz w:val="16"/>
              </w:rPr>
              <w:t>0.95</w:t>
            </w:r>
          </w:p>
        </w:tc>
        <w:tc>
          <w:tcPr>
            <w:tcW w:type="dxa" w:w="1800"/>
            <w:tcMar>
              <w:top w:w="45" w:type="dxa"/>
              <w:start w:w="50" w:type="dxa"/>
              <w:bottom w:w="45" w:type="dxa"/>
              <w:end w:w="50" w:type="dxa"/>
            </w:tcMar>
          </w:tcPr>
          <w:p>
            <w:pPr>
              <w:spacing w:after="0"/>
            </w:pPr>
            <w:r>
              <w:rPr>
                <w:rFonts w:ascii="Arial" w:hAnsi="Arial"/>
                <w:b w:val="0"/>
                <w:sz w:val="16"/>
              </w:rPr>
              <w:t>0.2 to 1.5</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expansion speed exponent</w:t>
            </w:r>
          </w:p>
        </w:tc>
        <w:tc>
          <w:tcPr>
            <w:tcW w:type="dxa" w:w="4176"/>
            <w:tcMar>
              <w:top w:w="45" w:type="dxa"/>
              <w:start w:w="50" w:type="dxa"/>
              <w:bottom w:w="45" w:type="dxa"/>
              <w:end w:w="50" w:type="dxa"/>
            </w:tcMar>
          </w:tcPr>
          <w:p>
            <w:pPr>
              <w:spacing w:after="0"/>
            </w:pPr>
            <w:r>
              <w:rPr>
                <w:rFonts w:ascii="Arial" w:hAnsi="Arial"/>
                <w:b w:val="0"/>
                <w:sz w:val="16"/>
              </w:rPr>
              <w:t>Exponent shaping how HPT expansion approaches the design condition as corrected speed rises.</w:t>
            </w:r>
          </w:p>
        </w:tc>
        <w:tc>
          <w:tcPr>
            <w:tcW w:type="dxa" w:w="1152"/>
            <w:tcMar>
              <w:top w:w="45" w:type="dxa"/>
              <w:start w:w="50" w:type="dxa"/>
              <w:bottom w:w="45" w:type="dxa"/>
              <w:end w:w="50" w:type="dxa"/>
            </w:tcMar>
          </w:tcPr>
          <w:p>
            <w:pPr>
              <w:spacing w:after="0"/>
            </w:pPr>
            <w:r>
              <w:rPr>
                <w:rFonts w:ascii="Arial" w:hAnsi="Arial"/>
                <w:b w:val="0"/>
                <w:sz w:val="16"/>
              </w:rPr>
              <w:t>2</w:t>
            </w:r>
          </w:p>
        </w:tc>
        <w:tc>
          <w:tcPr>
            <w:tcW w:type="dxa" w:w="1800"/>
            <w:tcMar>
              <w:top w:w="45" w:type="dxa"/>
              <w:start w:w="50" w:type="dxa"/>
              <w:bottom w:w="45" w:type="dxa"/>
              <w:end w:w="50" w:type="dxa"/>
            </w:tcMar>
          </w:tcPr>
          <w:p>
            <w:pPr>
              <w:spacing w:after="0"/>
            </w:pPr>
            <w:r>
              <w:rPr>
                <w:rFonts w:ascii="Arial" w:hAnsi="Arial"/>
                <w:b w:val="0"/>
                <w:sz w:val="16"/>
              </w:rPr>
              <w:t>0.5 to 3.5</w:t>
            </w:r>
          </w:p>
        </w:tc>
        <w:tc>
          <w:tcPr>
            <w:tcW w:type="dxa" w:w="1080"/>
            <w:tcMar>
              <w:top w:w="45" w:type="dxa"/>
              <w:start w:w="50" w:type="dxa"/>
              <w:bottom w:w="45" w:type="dxa"/>
              <w:end w:w="50" w:type="dxa"/>
            </w:tcMar>
          </w:tcPr>
          <w:p>
            <w:pPr>
              <w:spacing w:after="0"/>
            </w:pPr>
            <w:r>
              <w:rPr>
                <w:rFonts w:ascii="Arial" w:hAnsi="Arial"/>
                <w:b w:val="0"/>
                <w:sz w:val="16"/>
              </w:rPr>
              <w:t>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low-speed expansion floor</w:t>
            </w:r>
          </w:p>
        </w:tc>
        <w:tc>
          <w:tcPr>
            <w:tcW w:type="dxa" w:w="4176"/>
            <w:tcMar>
              <w:top w:w="45" w:type="dxa"/>
              <w:start w:w="50" w:type="dxa"/>
              <w:bottom w:w="45" w:type="dxa"/>
              <w:end w:w="50" w:type="dxa"/>
            </w:tcMar>
          </w:tcPr>
          <w:p>
            <w:pPr>
              <w:spacing w:after="0"/>
            </w:pPr>
            <w:r>
              <w:rPr>
                <w:rFonts w:ascii="Arial" w:hAnsi="Arial"/>
                <w:b w:val="0"/>
                <w:sz w:val="16"/>
              </w:rPr>
              <w:t>Minimum low-speed contribution in the LPT off-design expansion schedule.</w:t>
            </w:r>
          </w:p>
        </w:tc>
        <w:tc>
          <w:tcPr>
            <w:tcW w:type="dxa" w:w="1152"/>
            <w:tcMar>
              <w:top w:w="45" w:type="dxa"/>
              <w:start w:w="50" w:type="dxa"/>
              <w:bottom w:w="45" w:type="dxa"/>
              <w:end w:w="50" w:type="dxa"/>
            </w:tcMar>
          </w:tcPr>
          <w:p>
            <w:pPr>
              <w:spacing w:after="0"/>
            </w:pPr>
            <w:r>
              <w:rPr>
                <w:rFonts w:ascii="Arial" w:hAnsi="Arial"/>
                <w:b w:val="0"/>
                <w:sz w:val="16"/>
              </w:rPr>
              <w:t>0.01 fraction</w:t>
            </w:r>
          </w:p>
        </w:tc>
        <w:tc>
          <w:tcPr>
            <w:tcW w:type="dxa" w:w="1800"/>
            <w:tcMar>
              <w:top w:w="45" w:type="dxa"/>
              <w:start w:w="50" w:type="dxa"/>
              <w:bottom w:w="45" w:type="dxa"/>
              <w:end w:w="50" w:type="dxa"/>
            </w:tcMar>
          </w:tcPr>
          <w:p>
            <w:pPr>
              <w:spacing w:after="0"/>
            </w:pPr>
            <w:r>
              <w:rPr>
                <w:rFonts w:ascii="Arial" w:hAnsi="Arial"/>
                <w:b w:val="0"/>
                <w:sz w:val="16"/>
              </w:rPr>
              <w:t>0 to 0.3 fraction</w:t>
            </w:r>
          </w:p>
        </w:tc>
        <w:tc>
          <w:tcPr>
            <w:tcW w:type="dxa" w:w="1080"/>
            <w:tcMar>
              <w:top w:w="45" w:type="dxa"/>
              <w:start w:w="50" w:type="dxa"/>
              <w:bottom w:w="45" w:type="dxa"/>
              <w:end w:w="50" w:type="dxa"/>
            </w:tcMar>
          </w:tcPr>
          <w:p>
            <w:pPr>
              <w:spacing w:after="0"/>
            </w:pPr>
            <w:r>
              <w:rPr>
                <w:rFonts w:ascii="Arial" w:hAnsi="Arial"/>
                <w:b w:val="0"/>
                <w:sz w:val="16"/>
              </w:rPr>
              <w:t>0.01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expansion speed slope</w:t>
            </w:r>
          </w:p>
        </w:tc>
        <w:tc>
          <w:tcPr>
            <w:tcW w:type="dxa" w:w="4176"/>
            <w:tcMar>
              <w:top w:w="45" w:type="dxa"/>
              <w:start w:w="50" w:type="dxa"/>
              <w:bottom w:w="45" w:type="dxa"/>
              <w:end w:w="50" w:type="dxa"/>
            </w:tcMar>
          </w:tcPr>
          <w:p>
            <w:pPr>
              <w:spacing w:after="0"/>
            </w:pPr>
            <w:r>
              <w:rPr>
                <w:rFonts w:ascii="Arial" w:hAnsi="Arial"/>
                <w:b w:val="0"/>
                <w:sz w:val="16"/>
              </w:rPr>
              <w:t>Speed-dependent multiplier coefficient in the LPT off-design expansion schedule.</w:t>
            </w:r>
          </w:p>
        </w:tc>
        <w:tc>
          <w:tcPr>
            <w:tcW w:type="dxa" w:w="1152"/>
            <w:tcMar>
              <w:top w:w="45" w:type="dxa"/>
              <w:start w:w="50" w:type="dxa"/>
              <w:bottom w:w="45" w:type="dxa"/>
              <w:end w:w="50" w:type="dxa"/>
            </w:tcMar>
          </w:tcPr>
          <w:p>
            <w:pPr>
              <w:spacing w:after="0"/>
            </w:pPr>
            <w:r>
              <w:rPr>
                <w:rFonts w:ascii="Arial" w:hAnsi="Arial"/>
                <w:b w:val="0"/>
                <w:sz w:val="16"/>
              </w:rPr>
              <w:t>0.99</w:t>
            </w:r>
          </w:p>
        </w:tc>
        <w:tc>
          <w:tcPr>
            <w:tcW w:type="dxa" w:w="1800"/>
            <w:tcMar>
              <w:top w:w="45" w:type="dxa"/>
              <w:start w:w="50" w:type="dxa"/>
              <w:bottom w:w="45" w:type="dxa"/>
              <w:end w:w="50" w:type="dxa"/>
            </w:tcMar>
          </w:tcPr>
          <w:p>
            <w:pPr>
              <w:spacing w:after="0"/>
            </w:pPr>
            <w:r>
              <w:rPr>
                <w:rFonts w:ascii="Arial" w:hAnsi="Arial"/>
                <w:b w:val="0"/>
                <w:sz w:val="16"/>
              </w:rPr>
              <w:t>0.2 to 1.5</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expansion speed exponent</w:t>
            </w:r>
          </w:p>
        </w:tc>
        <w:tc>
          <w:tcPr>
            <w:tcW w:type="dxa" w:w="4176"/>
            <w:tcMar>
              <w:top w:w="45" w:type="dxa"/>
              <w:start w:w="50" w:type="dxa"/>
              <w:bottom w:w="45" w:type="dxa"/>
              <w:end w:w="50" w:type="dxa"/>
            </w:tcMar>
          </w:tcPr>
          <w:p>
            <w:pPr>
              <w:spacing w:after="0"/>
            </w:pPr>
            <w:r>
              <w:rPr>
                <w:rFonts w:ascii="Arial" w:hAnsi="Arial"/>
                <w:b w:val="0"/>
                <w:sz w:val="16"/>
              </w:rPr>
              <w:t>Exponent shaping how LPT expansion approaches the design condition as corrected speed rises.</w:t>
            </w:r>
          </w:p>
        </w:tc>
        <w:tc>
          <w:tcPr>
            <w:tcW w:type="dxa" w:w="1152"/>
            <w:tcMar>
              <w:top w:w="45" w:type="dxa"/>
              <w:start w:w="50" w:type="dxa"/>
              <w:bottom w:w="45" w:type="dxa"/>
              <w:end w:w="50" w:type="dxa"/>
            </w:tcMar>
          </w:tcPr>
          <w:p>
            <w:pPr>
              <w:spacing w:after="0"/>
            </w:pPr>
            <w:r>
              <w:rPr>
                <w:rFonts w:ascii="Arial" w:hAnsi="Arial"/>
                <w:b w:val="0"/>
                <w:sz w:val="16"/>
              </w:rPr>
              <w:t>3</w:t>
            </w:r>
          </w:p>
        </w:tc>
        <w:tc>
          <w:tcPr>
            <w:tcW w:type="dxa" w:w="1800"/>
            <w:tcMar>
              <w:top w:w="45" w:type="dxa"/>
              <w:start w:w="50" w:type="dxa"/>
              <w:bottom w:w="45" w:type="dxa"/>
              <w:end w:w="50" w:type="dxa"/>
            </w:tcMar>
          </w:tcPr>
          <w:p>
            <w:pPr>
              <w:spacing w:after="0"/>
            </w:pPr>
            <w:r>
              <w:rPr>
                <w:rFonts w:ascii="Arial" w:hAnsi="Arial"/>
                <w:b w:val="0"/>
                <w:sz w:val="16"/>
              </w:rPr>
              <w:t>0.5 to 3.5</w:t>
            </w:r>
          </w:p>
        </w:tc>
        <w:tc>
          <w:tcPr>
            <w:tcW w:type="dxa" w:w="1080"/>
            <w:tcMar>
              <w:top w:w="45" w:type="dxa"/>
              <w:start w:w="50" w:type="dxa"/>
              <w:bottom w:w="45" w:type="dxa"/>
              <w:end w:w="50" w:type="dxa"/>
            </w:tcMar>
          </w:tcPr>
          <w:p>
            <w:pPr>
              <w:spacing w:after="0"/>
            </w:pPr>
            <w:r>
              <w:rPr>
                <w:rFonts w:ascii="Arial" w:hAnsi="Arial"/>
                <w:b w:val="0"/>
                <w:sz w:val="16"/>
              </w:rPr>
              <w:t>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Low-speed torque omega floor</w:t>
            </w:r>
          </w:p>
        </w:tc>
        <w:tc>
          <w:tcPr>
            <w:tcW w:type="dxa" w:w="4176"/>
            <w:tcMar>
              <w:top w:w="45" w:type="dxa"/>
              <w:start w:w="50" w:type="dxa"/>
              <w:bottom w:w="45" w:type="dxa"/>
              <w:end w:w="50" w:type="dxa"/>
            </w:tcMar>
          </w:tcPr>
          <w:p>
            <w:pPr>
              <w:spacing w:after="0"/>
            </w:pPr>
            <w:r>
              <w:rPr>
                <w:rFonts w:ascii="Arial" w:hAnsi="Arial"/>
                <w:b w:val="0"/>
                <w:sz w:val="16"/>
              </w:rPr>
              <w:t>Minimum shaft-speed fraction used when converting turbine power to torque at very low rpm, avoiding unrealistically large torque as omega approaches zero.</w:t>
            </w:r>
          </w:p>
        </w:tc>
        <w:tc>
          <w:tcPr>
            <w:tcW w:type="dxa" w:w="1152"/>
            <w:tcMar>
              <w:top w:w="45" w:type="dxa"/>
              <w:start w:w="50" w:type="dxa"/>
              <w:bottom w:w="45" w:type="dxa"/>
              <w:end w:w="50" w:type="dxa"/>
            </w:tcMar>
          </w:tcPr>
          <w:p>
            <w:pPr>
              <w:spacing w:after="0"/>
            </w:pPr>
            <w:r>
              <w:rPr>
                <w:rFonts w:ascii="Arial" w:hAnsi="Arial"/>
                <w:b w:val="0"/>
                <w:sz w:val="16"/>
              </w:rPr>
              <w:t>0.12 N/Ndesign</w:t>
            </w:r>
          </w:p>
        </w:tc>
        <w:tc>
          <w:tcPr>
            <w:tcW w:type="dxa" w:w="1800"/>
            <w:tcMar>
              <w:top w:w="45" w:type="dxa"/>
              <w:start w:w="50" w:type="dxa"/>
              <w:bottom w:w="45" w:type="dxa"/>
              <w:end w:w="50" w:type="dxa"/>
            </w:tcMar>
          </w:tcPr>
          <w:p>
            <w:pPr>
              <w:spacing w:after="0"/>
            </w:pPr>
            <w:r>
              <w:rPr>
                <w:rFonts w:ascii="Arial" w:hAnsi="Arial"/>
                <w:b w:val="0"/>
                <w:sz w:val="16"/>
              </w:rPr>
              <w:t>0.03 to 0.3 N/Ndesign</w:t>
            </w:r>
          </w:p>
        </w:tc>
        <w:tc>
          <w:tcPr>
            <w:tcW w:type="dxa" w:w="1080"/>
            <w:tcMar>
              <w:top w:w="45" w:type="dxa"/>
              <w:start w:w="50" w:type="dxa"/>
              <w:bottom w:w="45" w:type="dxa"/>
              <w:end w:w="50" w:type="dxa"/>
            </w:tcMar>
          </w:tcPr>
          <w:p>
            <w:pPr>
              <w:spacing w:after="0"/>
            </w:pPr>
            <w:r>
              <w:rPr>
                <w:rFonts w:ascii="Arial" w:hAnsi="Arial"/>
                <w:b w:val="0"/>
                <w:sz w:val="16"/>
              </w:rPr>
              <w:t>0.01 N/Ndesign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Core nozzle pressure margin</w:t>
            </w:r>
          </w:p>
        </w:tc>
        <w:tc>
          <w:tcPr>
            <w:tcW w:type="dxa" w:w="4176"/>
            <w:tcMar>
              <w:top w:w="45" w:type="dxa"/>
              <w:start w:w="50" w:type="dxa"/>
              <w:bottom w:w="45" w:type="dxa"/>
              <w:end w:w="50" w:type="dxa"/>
            </w:tcMar>
          </w:tcPr>
          <w:p>
            <w:pPr>
              <w:spacing w:after="0"/>
            </w:pPr>
            <w:r>
              <w:rPr>
                <w:rFonts w:ascii="Arial" w:hAnsi="Arial"/>
                <w:b w:val="0"/>
                <w:sz w:val="16"/>
              </w:rPr>
              <w:t>Pressure margin above ambient used in the core-nozzle pressure/exhaust solution.</w:t>
            </w:r>
          </w:p>
        </w:tc>
        <w:tc>
          <w:tcPr>
            <w:tcW w:type="dxa" w:w="1152"/>
            <w:tcMar>
              <w:top w:w="45" w:type="dxa"/>
              <w:start w:w="50" w:type="dxa"/>
              <w:bottom w:w="45" w:type="dxa"/>
              <w:end w:w="50" w:type="dxa"/>
            </w:tcMar>
          </w:tcPr>
          <w:p>
            <w:pPr>
              <w:spacing w:after="0"/>
            </w:pPr>
            <w:r>
              <w:rPr>
                <w:rFonts w:ascii="Arial" w:hAnsi="Arial"/>
                <w:b w:val="0"/>
                <w:sz w:val="16"/>
              </w:rPr>
              <w:t>1.03 Pa/Pamb</w:t>
            </w:r>
          </w:p>
        </w:tc>
        <w:tc>
          <w:tcPr>
            <w:tcW w:type="dxa" w:w="1800"/>
            <w:tcMar>
              <w:top w:w="45" w:type="dxa"/>
              <w:start w:w="50" w:type="dxa"/>
              <w:bottom w:w="45" w:type="dxa"/>
              <w:end w:w="50" w:type="dxa"/>
            </w:tcMar>
          </w:tcPr>
          <w:p>
            <w:pPr>
              <w:spacing w:after="0"/>
            </w:pPr>
            <w:r>
              <w:rPr>
                <w:rFonts w:ascii="Arial" w:hAnsi="Arial"/>
                <w:b w:val="0"/>
                <w:sz w:val="16"/>
              </w:rPr>
              <w:t>1 to 1.25 Pa/Pamb</w:t>
            </w:r>
          </w:p>
        </w:tc>
        <w:tc>
          <w:tcPr>
            <w:tcW w:type="dxa" w:w="1080"/>
            <w:tcMar>
              <w:top w:w="45" w:type="dxa"/>
              <w:start w:w="50" w:type="dxa"/>
              <w:bottom w:w="45" w:type="dxa"/>
              <w:end w:w="50" w:type="dxa"/>
            </w:tcMar>
          </w:tcPr>
          <w:p>
            <w:pPr>
              <w:spacing w:after="0"/>
            </w:pPr>
            <w:r>
              <w:rPr>
                <w:rFonts w:ascii="Arial" w:hAnsi="Arial"/>
                <w:b w:val="0"/>
                <w:sz w:val="16"/>
              </w:rPr>
              <w:t>0.005 Pa/Pamb</w:t>
            </w:r>
          </w:p>
        </w:tc>
      </w:tr>
    </w:tbl>
    <w:p>
      <w:pPr>
        <w:spacing w:after="40"/>
      </w:pPr>
    </w:p>
    <w:p>
      <w:pPr>
        <w:keepNext/>
        <w:spacing w:before="200" w:after="100"/>
      </w:pPr>
      <w:r>
        <w:rPr>
          <w:rFonts w:ascii="Arial" w:hAnsi="Arial"/>
          <w:b/>
          <w:color w:val="1F5F8B"/>
          <w:sz w:val="24"/>
        </w:rPr>
        <w:t>Gas Path / Exhaust</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Inlet pressure recovery</w:t>
            </w:r>
          </w:p>
        </w:tc>
        <w:tc>
          <w:tcPr>
            <w:tcW w:type="dxa" w:w="4176"/>
            <w:tcMar>
              <w:top w:w="45" w:type="dxa"/>
              <w:start w:w="50" w:type="dxa"/>
              <w:bottom w:w="45" w:type="dxa"/>
              <w:end w:w="50" w:type="dxa"/>
            </w:tcMar>
          </w:tcPr>
          <w:p>
            <w:pPr>
              <w:spacing w:after="0"/>
            </w:pPr>
            <w:r>
              <w:rPr>
                <w:rFonts w:ascii="Arial" w:hAnsi="Arial"/>
                <w:b w:val="0"/>
                <w:sz w:val="16"/>
              </w:rPr>
              <w:t>Total-pressure recovery through the inlet before subsequent duct losses are applied.</w:t>
            </w:r>
          </w:p>
        </w:tc>
        <w:tc>
          <w:tcPr>
            <w:tcW w:type="dxa" w:w="1152"/>
            <w:tcMar>
              <w:top w:w="45" w:type="dxa"/>
              <w:start w:w="50" w:type="dxa"/>
              <w:bottom w:w="45" w:type="dxa"/>
              <w:end w:w="50" w:type="dxa"/>
            </w:tcMar>
          </w:tcPr>
          <w:p>
            <w:pPr>
              <w:spacing w:after="0"/>
            </w:pPr>
            <w:r>
              <w:rPr>
                <w:rFonts w:ascii="Arial" w:hAnsi="Arial"/>
                <w:b w:val="0"/>
                <w:sz w:val="16"/>
              </w:rPr>
              <w:t>0.999</w:t>
            </w:r>
          </w:p>
        </w:tc>
        <w:tc>
          <w:tcPr>
            <w:tcW w:type="dxa" w:w="1800"/>
            <w:tcMar>
              <w:top w:w="45" w:type="dxa"/>
              <w:start w:w="50" w:type="dxa"/>
              <w:bottom w:w="45" w:type="dxa"/>
              <w:end w:w="50" w:type="dxa"/>
            </w:tcMar>
          </w:tcPr>
          <w:p>
            <w:pPr>
              <w:spacing w:after="0"/>
            </w:pPr>
            <w:r>
              <w:rPr>
                <w:rFonts w:ascii="Arial" w:hAnsi="Arial"/>
                <w:b w:val="0"/>
                <w:sz w:val="16"/>
              </w:rPr>
              <w:t>0.8 to 1</w:t>
            </w:r>
          </w:p>
        </w:tc>
        <w:tc>
          <w:tcPr>
            <w:tcW w:type="dxa" w:w="1080"/>
            <w:tcMar>
              <w:top w:w="45" w:type="dxa"/>
              <w:start w:w="50" w:type="dxa"/>
              <w:bottom w:w="45" w:type="dxa"/>
              <w:end w:w="50" w:type="dxa"/>
            </w:tcMar>
          </w:tcPr>
          <w:p>
            <w:pPr>
              <w:spacing w:after="0"/>
            </w:pPr>
            <w:r>
              <w:rPr>
                <w:rFonts w:ascii="Arial" w:hAnsi="Arial"/>
                <w:b w:val="0"/>
                <w:sz w:val="16"/>
              </w:rPr>
              <w:t>0.001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Inlet duct loss</w:t>
            </w:r>
          </w:p>
        </w:tc>
        <w:tc>
          <w:tcPr>
            <w:tcW w:type="dxa" w:w="4176"/>
            <w:tcMar>
              <w:top w:w="45" w:type="dxa"/>
              <w:start w:w="50" w:type="dxa"/>
              <w:bottom w:w="45" w:type="dxa"/>
              <w:end w:w="50" w:type="dxa"/>
            </w:tcMar>
          </w:tcPr>
          <w:p>
            <w:pPr>
              <w:spacing w:after="0"/>
            </w:pPr>
            <w:r>
              <w:rPr>
                <w:rFonts w:ascii="Arial" w:hAnsi="Arial"/>
                <w:b w:val="0"/>
                <w:sz w:val="16"/>
              </w:rPr>
              <w:t>Fractional inlet-duct total-pressure loss applied to the incoming flow.</w:t>
            </w:r>
          </w:p>
        </w:tc>
        <w:tc>
          <w:tcPr>
            <w:tcW w:type="dxa" w:w="1152"/>
            <w:tcMar>
              <w:top w:w="45" w:type="dxa"/>
              <w:start w:w="50" w:type="dxa"/>
              <w:bottom w:w="45" w:type="dxa"/>
              <w:end w:w="50" w:type="dxa"/>
            </w:tcMar>
          </w:tcPr>
          <w:p>
            <w:pPr>
              <w:spacing w:after="0"/>
            </w:pPr>
            <w:r>
              <w:rPr>
                <w:rFonts w:ascii="Arial" w:hAnsi="Arial"/>
                <w:b w:val="0"/>
                <w:sz w:val="16"/>
              </w:rPr>
              <w:t>0.001 fraction</w:t>
            </w:r>
          </w:p>
        </w:tc>
        <w:tc>
          <w:tcPr>
            <w:tcW w:type="dxa" w:w="1800"/>
            <w:tcMar>
              <w:top w:w="45" w:type="dxa"/>
              <w:start w:w="50" w:type="dxa"/>
              <w:bottom w:w="45" w:type="dxa"/>
              <w:end w:w="50" w:type="dxa"/>
            </w:tcMar>
          </w:tcPr>
          <w:p>
            <w:pPr>
              <w:spacing w:after="0"/>
            </w:pPr>
            <w:r>
              <w:rPr>
                <w:rFonts w:ascii="Arial" w:hAnsi="Arial"/>
                <w:b w:val="0"/>
                <w:sz w:val="16"/>
              </w:rPr>
              <w:t>0 to 0.1 fraction</w:t>
            </w:r>
          </w:p>
        </w:tc>
        <w:tc>
          <w:tcPr>
            <w:tcW w:type="dxa" w:w="1080"/>
            <w:tcMar>
              <w:top w:w="45" w:type="dxa"/>
              <w:start w:w="50" w:type="dxa"/>
              <w:bottom w:w="45" w:type="dxa"/>
              <w:end w:w="50" w:type="dxa"/>
            </w:tcMar>
          </w:tcPr>
          <w:p>
            <w:pPr>
              <w:spacing w:after="0"/>
            </w:pPr>
            <w:r>
              <w:rPr>
                <w:rFonts w:ascii="Arial" w:hAnsi="Arial"/>
                <w:b w:val="0"/>
                <w:sz w:val="16"/>
              </w:rPr>
              <w:t>0.001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heating value</w:t>
            </w:r>
          </w:p>
        </w:tc>
        <w:tc>
          <w:tcPr>
            <w:tcW w:type="dxa" w:w="4176"/>
            <w:tcMar>
              <w:top w:w="45" w:type="dxa"/>
              <w:start w:w="50" w:type="dxa"/>
              <w:bottom w:w="45" w:type="dxa"/>
              <w:end w:w="50" w:type="dxa"/>
            </w:tcMar>
          </w:tcPr>
          <w:p>
            <w:pPr>
              <w:spacing w:after="0"/>
            </w:pPr>
            <w:r>
              <w:rPr>
                <w:rFonts w:ascii="Arial" w:hAnsi="Arial"/>
                <w:b w:val="0"/>
                <w:sz w:val="16"/>
              </w:rPr>
              <w:t>Fuel lower-heating-value style energy input used by the combustor energy balance.</w:t>
            </w:r>
          </w:p>
        </w:tc>
        <w:tc>
          <w:tcPr>
            <w:tcW w:type="dxa" w:w="1152"/>
            <w:tcMar>
              <w:top w:w="45" w:type="dxa"/>
              <w:start w:w="50" w:type="dxa"/>
              <w:bottom w:w="45" w:type="dxa"/>
              <w:end w:w="50" w:type="dxa"/>
            </w:tcMar>
          </w:tcPr>
          <w:p>
            <w:pPr>
              <w:spacing w:after="0"/>
            </w:pPr>
            <w:r>
              <w:rPr>
                <w:rFonts w:ascii="Arial" w:hAnsi="Arial"/>
                <w:b w:val="0"/>
                <w:sz w:val="16"/>
              </w:rPr>
              <w:t>43e6 J/kg</w:t>
            </w:r>
          </w:p>
        </w:tc>
        <w:tc>
          <w:tcPr>
            <w:tcW w:type="dxa" w:w="1800"/>
            <w:tcMar>
              <w:top w:w="45" w:type="dxa"/>
              <w:start w:w="50" w:type="dxa"/>
              <w:bottom w:w="45" w:type="dxa"/>
              <w:end w:w="50" w:type="dxa"/>
            </w:tcMar>
          </w:tcPr>
          <w:p>
            <w:pPr>
              <w:spacing w:after="0"/>
            </w:pPr>
            <w:r>
              <w:rPr>
                <w:rFonts w:ascii="Arial" w:hAnsi="Arial"/>
                <w:b w:val="0"/>
                <w:sz w:val="16"/>
              </w:rPr>
              <w:t>35e6 to 50e6 J/kg</w:t>
            </w:r>
          </w:p>
        </w:tc>
        <w:tc>
          <w:tcPr>
            <w:tcW w:type="dxa" w:w="1080"/>
            <w:tcMar>
              <w:top w:w="45" w:type="dxa"/>
              <w:start w:w="50" w:type="dxa"/>
              <w:bottom w:w="45" w:type="dxa"/>
              <w:end w:w="50" w:type="dxa"/>
            </w:tcMar>
          </w:tcPr>
          <w:p>
            <w:pPr>
              <w:spacing w:after="0"/>
            </w:pPr>
            <w:r>
              <w:rPr>
                <w:rFonts w:ascii="Arial" w:hAnsi="Arial"/>
                <w:b w:val="0"/>
                <w:sz w:val="16"/>
              </w:rPr>
              <w:t>100,000 J/kg</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Combustion efficiency</w:t>
            </w:r>
          </w:p>
        </w:tc>
        <w:tc>
          <w:tcPr>
            <w:tcW w:type="dxa" w:w="4176"/>
            <w:tcMar>
              <w:top w:w="45" w:type="dxa"/>
              <w:start w:w="50" w:type="dxa"/>
              <w:bottom w:w="45" w:type="dxa"/>
              <w:end w:w="50" w:type="dxa"/>
            </w:tcMar>
          </w:tcPr>
          <w:p>
            <w:pPr>
              <w:spacing w:after="0"/>
            </w:pPr>
            <w:r>
              <w:rPr>
                <w:rFonts w:ascii="Arial" w:hAnsi="Arial"/>
                <w:b w:val="0"/>
                <w:sz w:val="16"/>
              </w:rPr>
              <w:t>Fraction of fuel chemical energy transferred into the modeled combustion gas stream.</w:t>
            </w:r>
          </w:p>
        </w:tc>
        <w:tc>
          <w:tcPr>
            <w:tcW w:type="dxa" w:w="1152"/>
            <w:tcMar>
              <w:top w:w="45" w:type="dxa"/>
              <w:start w:w="50" w:type="dxa"/>
              <w:bottom w:w="45" w:type="dxa"/>
              <w:end w:w="50" w:type="dxa"/>
            </w:tcMar>
          </w:tcPr>
          <w:p>
            <w:pPr>
              <w:spacing w:after="0"/>
            </w:pPr>
            <w:r>
              <w:rPr>
                <w:rFonts w:ascii="Arial" w:hAnsi="Arial"/>
                <w:b w:val="0"/>
                <w:sz w:val="16"/>
              </w:rPr>
              <w:t>0.98</w:t>
            </w:r>
          </w:p>
        </w:tc>
        <w:tc>
          <w:tcPr>
            <w:tcW w:type="dxa" w:w="1800"/>
            <w:tcMar>
              <w:top w:w="45" w:type="dxa"/>
              <w:start w:w="50" w:type="dxa"/>
              <w:bottom w:w="45" w:type="dxa"/>
              <w:end w:w="50" w:type="dxa"/>
            </w:tcMar>
          </w:tcPr>
          <w:p>
            <w:pPr>
              <w:spacing w:after="0"/>
            </w:pPr>
            <w:r>
              <w:rPr>
                <w:rFonts w:ascii="Arial" w:hAnsi="Arial"/>
                <w:b w:val="0"/>
                <w:sz w:val="16"/>
              </w:rPr>
              <w:t>0.75 to 1</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Combustor pressure loss</w:t>
            </w:r>
          </w:p>
        </w:tc>
        <w:tc>
          <w:tcPr>
            <w:tcW w:type="dxa" w:w="4176"/>
            <w:tcMar>
              <w:top w:w="45" w:type="dxa"/>
              <w:start w:w="50" w:type="dxa"/>
              <w:bottom w:w="45" w:type="dxa"/>
              <w:end w:w="50" w:type="dxa"/>
            </w:tcMar>
          </w:tcPr>
          <w:p>
            <w:pPr>
              <w:spacing w:after="0"/>
            </w:pPr>
            <w:r>
              <w:rPr>
                <w:rFonts w:ascii="Arial" w:hAnsi="Arial"/>
                <w:b w:val="0"/>
                <w:sz w:val="16"/>
              </w:rPr>
              <w:t>Fractional total-pressure loss through the combustor.</w:t>
            </w:r>
          </w:p>
        </w:tc>
        <w:tc>
          <w:tcPr>
            <w:tcW w:type="dxa" w:w="1152"/>
            <w:tcMar>
              <w:top w:w="45" w:type="dxa"/>
              <w:start w:w="50" w:type="dxa"/>
              <w:bottom w:w="45" w:type="dxa"/>
              <w:end w:w="50" w:type="dxa"/>
            </w:tcMar>
          </w:tcPr>
          <w:p>
            <w:pPr>
              <w:spacing w:after="0"/>
            </w:pPr>
            <w:r>
              <w:rPr>
                <w:rFonts w:ascii="Arial" w:hAnsi="Arial"/>
                <w:b w:val="0"/>
                <w:sz w:val="16"/>
              </w:rPr>
              <w:t>0.05 fraction</w:t>
            </w:r>
          </w:p>
        </w:tc>
        <w:tc>
          <w:tcPr>
            <w:tcW w:type="dxa" w:w="1800"/>
            <w:tcMar>
              <w:top w:w="45" w:type="dxa"/>
              <w:start w:w="50" w:type="dxa"/>
              <w:bottom w:w="45" w:type="dxa"/>
              <w:end w:w="50" w:type="dxa"/>
            </w:tcMar>
          </w:tcPr>
          <w:p>
            <w:pPr>
              <w:spacing w:after="0"/>
            </w:pPr>
            <w:r>
              <w:rPr>
                <w:rFonts w:ascii="Arial" w:hAnsi="Arial"/>
                <w:b w:val="0"/>
                <w:sz w:val="16"/>
              </w:rPr>
              <w:t>0 to 0.15 fraction</w:t>
            </w:r>
          </w:p>
        </w:tc>
        <w:tc>
          <w:tcPr>
            <w:tcW w:type="dxa" w:w="1080"/>
            <w:tcMar>
              <w:top w:w="45" w:type="dxa"/>
              <w:start w:w="50" w:type="dxa"/>
              <w:bottom w:w="45" w:type="dxa"/>
              <w:end w:w="50" w:type="dxa"/>
            </w:tcMar>
          </w:tcPr>
          <w:p>
            <w:pPr>
              <w:spacing w:after="0"/>
            </w:pPr>
            <w:r>
              <w:rPr>
                <w:rFonts w:ascii="Arial" w:hAnsi="Arial"/>
                <w:b w:val="0"/>
                <w:sz w:val="16"/>
              </w:rPr>
              <w:t>0.005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Nozzle efficiency</w:t>
            </w:r>
          </w:p>
        </w:tc>
        <w:tc>
          <w:tcPr>
            <w:tcW w:type="dxa" w:w="4176"/>
            <w:tcMar>
              <w:top w:w="45" w:type="dxa"/>
              <w:start w:w="50" w:type="dxa"/>
              <w:bottom w:w="45" w:type="dxa"/>
              <w:end w:w="50" w:type="dxa"/>
            </w:tcMar>
          </w:tcPr>
          <w:p>
            <w:pPr>
              <w:spacing w:after="0"/>
            </w:pPr>
            <w:r>
              <w:rPr>
                <w:rFonts w:ascii="Arial" w:hAnsi="Arial"/>
                <w:b w:val="0"/>
                <w:sz w:val="16"/>
              </w:rPr>
              <w:t>Efficiency used in converting available exhaust pressure/enthalpy into jet velocity and thrust.</w:t>
            </w:r>
          </w:p>
        </w:tc>
        <w:tc>
          <w:tcPr>
            <w:tcW w:type="dxa" w:w="1152"/>
            <w:tcMar>
              <w:top w:w="45" w:type="dxa"/>
              <w:start w:w="50" w:type="dxa"/>
              <w:bottom w:w="45" w:type="dxa"/>
              <w:end w:w="50" w:type="dxa"/>
            </w:tcMar>
          </w:tcPr>
          <w:p>
            <w:pPr>
              <w:spacing w:after="0"/>
            </w:pPr>
            <w:r>
              <w:rPr>
                <w:rFonts w:ascii="Arial" w:hAnsi="Arial"/>
                <w:b w:val="0"/>
                <w:sz w:val="16"/>
              </w:rPr>
              <w:t>0.95</w:t>
            </w:r>
          </w:p>
        </w:tc>
        <w:tc>
          <w:tcPr>
            <w:tcW w:type="dxa" w:w="1800"/>
            <w:tcMar>
              <w:top w:w="45" w:type="dxa"/>
              <w:start w:w="50" w:type="dxa"/>
              <w:bottom w:w="45" w:type="dxa"/>
              <w:end w:w="50" w:type="dxa"/>
            </w:tcMar>
          </w:tcPr>
          <w:p>
            <w:pPr>
              <w:spacing w:after="0"/>
            </w:pPr>
            <w:r>
              <w:rPr>
                <w:rFonts w:ascii="Arial" w:hAnsi="Arial"/>
                <w:b w:val="0"/>
                <w:sz w:val="16"/>
              </w:rPr>
              <w:t>0.7 to 1</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Cascade axial turning</w:t>
            </w:r>
          </w:p>
        </w:tc>
        <w:tc>
          <w:tcPr>
            <w:tcW w:type="dxa" w:w="4176"/>
            <w:tcMar>
              <w:top w:w="45" w:type="dxa"/>
              <w:start w:w="50" w:type="dxa"/>
              <w:bottom w:w="45" w:type="dxa"/>
              <w:end w:w="50" w:type="dxa"/>
            </w:tcMar>
          </w:tcPr>
          <w:p>
            <w:pPr>
              <w:spacing w:after="0"/>
            </w:pPr>
            <w:r>
              <w:rPr>
                <w:rFonts w:ascii="Arial" w:hAnsi="Arial"/>
                <w:b w:val="0"/>
                <w:sz w:val="16"/>
              </w:rPr>
              <w:t>Physical cascade axial-turning term used in the raw reverse fan-momentum estimate, not the retired global reverse-thrust multiplier.</w:t>
            </w:r>
          </w:p>
        </w:tc>
        <w:tc>
          <w:tcPr>
            <w:tcW w:type="dxa" w:w="1152"/>
            <w:tcMar>
              <w:top w:w="45" w:type="dxa"/>
              <w:start w:w="50" w:type="dxa"/>
              <w:bottom w:w="45" w:type="dxa"/>
              <w:end w:w="50" w:type="dxa"/>
            </w:tcMar>
          </w:tcPr>
          <w:p>
            <w:pPr>
              <w:spacing w:after="0"/>
            </w:pPr>
            <w:r>
              <w:rPr>
                <w:rFonts w:ascii="Arial" w:hAnsi="Arial"/>
                <w:b w:val="0"/>
                <w:sz w:val="16"/>
              </w:rPr>
              <w:t>0.75</w:t>
            </w:r>
          </w:p>
        </w:tc>
        <w:tc>
          <w:tcPr>
            <w:tcW w:type="dxa" w:w="1800"/>
            <w:tcMar>
              <w:top w:w="45" w:type="dxa"/>
              <w:start w:w="50" w:type="dxa"/>
              <w:bottom w:w="45" w:type="dxa"/>
              <w:end w:w="50" w:type="dxa"/>
            </w:tcMar>
          </w:tcPr>
          <w:p>
            <w:pPr>
              <w:spacing w:after="0"/>
            </w:pPr>
            <w:r>
              <w:rPr>
                <w:rFonts w:ascii="Arial" w:hAnsi="Arial"/>
                <w:b w:val="0"/>
                <w:sz w:val="16"/>
              </w:rPr>
              <w:t>0.3 to 1</w:t>
            </w:r>
          </w:p>
        </w:tc>
        <w:tc>
          <w:tcPr>
            <w:tcW w:type="dxa" w:w="1080"/>
            <w:tcMar>
              <w:top w:w="45" w:type="dxa"/>
              <w:start w:w="50" w:type="dxa"/>
              <w:bottom w:w="45" w:type="dxa"/>
              <w:end w:w="50" w:type="dxa"/>
            </w:tcMar>
          </w:tcPr>
          <w:p>
            <w:pPr>
              <w:spacing w:after="0"/>
            </w:pPr>
            <w:r>
              <w:rPr>
                <w:rFonts w:ascii="Arial" w:hAnsi="Arial"/>
                <w:b w:val="0"/>
                <w:sz w:val="16"/>
              </w:rPr>
              <w:t>0.01</w:t>
            </w:r>
          </w:p>
        </w:tc>
      </w:tr>
    </w:tbl>
    <w:p>
      <w:pPr>
        <w:spacing w:after="40"/>
      </w:pPr>
    </w:p>
    <w:p>
      <w:pPr>
        <w:keepNext/>
        <w:spacing w:before="200" w:after="100"/>
      </w:pPr>
      <w:r>
        <w:rPr>
          <w:rFonts w:ascii="Arial" w:hAnsi="Arial"/>
          <w:b/>
          <w:color w:val="1F5F8B"/>
          <w:sz w:val="24"/>
        </w:rPr>
        <w:t>Reverser Hardware</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Cascade/sleeve travel time</w:t>
            </w:r>
          </w:p>
        </w:tc>
        <w:tc>
          <w:tcPr>
            <w:tcW w:type="dxa" w:w="4176"/>
            <w:tcMar>
              <w:top w:w="45" w:type="dxa"/>
              <w:start w:w="50" w:type="dxa"/>
              <w:bottom w:w="45" w:type="dxa"/>
              <w:end w:w="50" w:type="dxa"/>
            </w:tcMar>
          </w:tcPr>
          <w:p>
            <w:pPr>
              <w:spacing w:after="0"/>
            </w:pPr>
            <w:r>
              <w:rPr>
                <w:rFonts w:ascii="Arial" w:hAnsi="Arial"/>
                <w:b w:val="0"/>
                <w:sz w:val="16"/>
              </w:rPr>
              <w:t>Time for the translating cascade/sleeve portion of the reverser to travel between commanded positions.</w:t>
            </w:r>
          </w:p>
        </w:tc>
        <w:tc>
          <w:tcPr>
            <w:tcW w:type="dxa" w:w="1152"/>
            <w:tcMar>
              <w:top w:w="45" w:type="dxa"/>
              <w:start w:w="50" w:type="dxa"/>
              <w:bottom w:w="45" w:type="dxa"/>
              <w:end w:w="50" w:type="dxa"/>
            </w:tcMar>
          </w:tcPr>
          <w:p>
            <w:pPr>
              <w:spacing w:after="0"/>
            </w:pPr>
            <w:r>
              <w:rPr>
                <w:rFonts w:ascii="Arial" w:hAnsi="Arial"/>
                <w:b w:val="0"/>
                <w:sz w:val="16"/>
              </w:rPr>
              <w:t>0.75 s</w:t>
            </w:r>
          </w:p>
        </w:tc>
        <w:tc>
          <w:tcPr>
            <w:tcW w:type="dxa" w:w="1800"/>
            <w:tcMar>
              <w:top w:w="45" w:type="dxa"/>
              <w:start w:w="50" w:type="dxa"/>
              <w:bottom w:w="45" w:type="dxa"/>
              <w:end w:w="50" w:type="dxa"/>
            </w:tcMar>
          </w:tcPr>
          <w:p>
            <w:pPr>
              <w:spacing w:after="0"/>
            </w:pPr>
            <w:r>
              <w:rPr>
                <w:rFonts w:ascii="Arial" w:hAnsi="Arial"/>
                <w:b w:val="0"/>
                <w:sz w:val="16"/>
              </w:rPr>
              <w:t>0.2 to 3 s</w:t>
            </w:r>
          </w:p>
        </w:tc>
        <w:tc>
          <w:tcPr>
            <w:tcW w:type="dxa" w:w="1080"/>
            <w:tcMar>
              <w:top w:w="45" w:type="dxa"/>
              <w:start w:w="50" w:type="dxa"/>
              <w:bottom w:w="45" w:type="dxa"/>
              <w:end w:w="50" w:type="dxa"/>
            </w:tcMar>
          </w:tcPr>
          <w:p>
            <w:pPr>
              <w:spacing w:after="0"/>
            </w:pPr>
            <w:r>
              <w:rPr>
                <w:rFonts w:ascii="Arial" w:hAnsi="Arial"/>
                <w:b w:val="0"/>
                <w:sz w:val="16"/>
              </w:rPr>
              <w:t>0.05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Blocker-door travel time</w:t>
            </w:r>
          </w:p>
        </w:tc>
        <w:tc>
          <w:tcPr>
            <w:tcW w:type="dxa" w:w="4176"/>
            <w:tcMar>
              <w:top w:w="45" w:type="dxa"/>
              <w:start w:w="50" w:type="dxa"/>
              <w:bottom w:w="45" w:type="dxa"/>
              <w:end w:w="50" w:type="dxa"/>
            </w:tcMar>
          </w:tcPr>
          <w:p>
            <w:pPr>
              <w:spacing w:after="0"/>
            </w:pPr>
            <w:r>
              <w:rPr>
                <w:rFonts w:ascii="Arial" w:hAnsi="Arial"/>
                <w:b w:val="0"/>
                <w:sz w:val="16"/>
              </w:rPr>
              <w:t>Time for the blocker-door mechanism to travel between commanded positions.</w:t>
            </w:r>
          </w:p>
        </w:tc>
        <w:tc>
          <w:tcPr>
            <w:tcW w:type="dxa" w:w="1152"/>
            <w:tcMar>
              <w:top w:w="45" w:type="dxa"/>
              <w:start w:w="50" w:type="dxa"/>
              <w:bottom w:w="45" w:type="dxa"/>
              <w:end w:w="50" w:type="dxa"/>
            </w:tcMar>
          </w:tcPr>
          <w:p>
            <w:pPr>
              <w:spacing w:after="0"/>
            </w:pPr>
            <w:r>
              <w:rPr>
                <w:rFonts w:ascii="Arial" w:hAnsi="Arial"/>
                <w:b w:val="0"/>
                <w:sz w:val="16"/>
              </w:rPr>
              <w:t>0.75 s</w:t>
            </w:r>
          </w:p>
        </w:tc>
        <w:tc>
          <w:tcPr>
            <w:tcW w:type="dxa" w:w="1800"/>
            <w:tcMar>
              <w:top w:w="45" w:type="dxa"/>
              <w:start w:w="50" w:type="dxa"/>
              <w:bottom w:w="45" w:type="dxa"/>
              <w:end w:w="50" w:type="dxa"/>
            </w:tcMar>
          </w:tcPr>
          <w:p>
            <w:pPr>
              <w:spacing w:after="0"/>
            </w:pPr>
            <w:r>
              <w:rPr>
                <w:rFonts w:ascii="Arial" w:hAnsi="Arial"/>
                <w:b w:val="0"/>
                <w:sz w:val="16"/>
              </w:rPr>
              <w:t>0.2 to 3 s</w:t>
            </w:r>
          </w:p>
        </w:tc>
        <w:tc>
          <w:tcPr>
            <w:tcW w:type="dxa" w:w="1080"/>
            <w:tcMar>
              <w:top w:w="45" w:type="dxa"/>
              <w:start w:w="50" w:type="dxa"/>
              <w:bottom w:w="45" w:type="dxa"/>
              <w:end w:w="50" w:type="dxa"/>
            </w:tcMar>
          </w:tcPr>
          <w:p>
            <w:pPr>
              <w:spacing w:after="0"/>
            </w:pPr>
            <w:r>
              <w:rPr>
                <w:rFonts w:ascii="Arial" w:hAnsi="Arial"/>
                <w:b w:val="0"/>
                <w:sz w:val="16"/>
              </w:rPr>
              <w:t>0.05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Raw fan reverse reference</w:t>
            </w:r>
          </w:p>
        </w:tc>
        <w:tc>
          <w:tcPr>
            <w:tcW w:type="dxa" w:w="4176"/>
            <w:tcMar>
              <w:top w:w="45" w:type="dxa"/>
              <w:start w:w="50" w:type="dxa"/>
              <w:bottom w:w="45" w:type="dxa"/>
              <w:end w:w="50" w:type="dxa"/>
            </w:tcMar>
          </w:tcPr>
          <w:p>
            <w:pPr>
              <w:spacing w:after="0"/>
            </w:pPr>
            <w:r>
              <w:rPr>
                <w:rFonts w:ascii="Arial" w:hAnsi="Arial"/>
                <w:b w:val="0"/>
                <w:sz w:val="16"/>
              </w:rPr>
              <w:t>Reference raw fan reverse-thrust magnitude used to normalize the reverse-geometry calibration.</w:t>
            </w:r>
          </w:p>
        </w:tc>
        <w:tc>
          <w:tcPr>
            <w:tcW w:type="dxa" w:w="1152"/>
            <w:tcMar>
              <w:top w:w="45" w:type="dxa"/>
              <w:start w:w="50" w:type="dxa"/>
              <w:bottom w:w="45" w:type="dxa"/>
              <w:end w:w="50" w:type="dxa"/>
            </w:tcMar>
          </w:tcPr>
          <w:p>
            <w:pPr>
              <w:spacing w:after="0"/>
            </w:pPr>
            <w:r>
              <w:rPr>
                <w:rFonts w:ascii="Arial" w:hAnsi="Arial"/>
                <w:b w:val="0"/>
                <w:sz w:val="16"/>
              </w:rPr>
              <w:t>12,375 lbf</w:t>
            </w:r>
          </w:p>
        </w:tc>
        <w:tc>
          <w:tcPr>
            <w:tcW w:type="dxa" w:w="1800"/>
            <w:tcMar>
              <w:top w:w="45" w:type="dxa"/>
              <w:start w:w="50" w:type="dxa"/>
              <w:bottom w:w="45" w:type="dxa"/>
              <w:end w:w="50" w:type="dxa"/>
            </w:tcMar>
          </w:tcPr>
          <w:p>
            <w:pPr>
              <w:spacing w:after="0"/>
            </w:pPr>
            <w:r>
              <w:rPr>
                <w:rFonts w:ascii="Arial" w:hAnsi="Arial"/>
                <w:b w:val="0"/>
                <w:sz w:val="16"/>
              </w:rPr>
              <w:t>2,000 to 25,000 lbf</w:t>
            </w:r>
          </w:p>
        </w:tc>
        <w:tc>
          <w:tcPr>
            <w:tcW w:type="dxa" w:w="1080"/>
            <w:tcMar>
              <w:top w:w="45" w:type="dxa"/>
              <w:start w:w="50" w:type="dxa"/>
              <w:bottom w:w="45" w:type="dxa"/>
              <w:end w:w="50" w:type="dxa"/>
            </w:tcMar>
          </w:tcPr>
          <w:p>
            <w:pPr>
              <w:spacing w:after="0"/>
            </w:pPr>
            <w:r>
              <w:rPr>
                <w:rFonts w:ascii="Arial" w:hAnsi="Arial"/>
                <w:b w:val="0"/>
                <w:sz w:val="16"/>
              </w:rPr>
              <w:t>25 lbf</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reverse fan thrust</w:t>
            </w:r>
          </w:p>
        </w:tc>
        <w:tc>
          <w:tcPr>
            <w:tcW w:type="dxa" w:w="4176"/>
            <w:tcMar>
              <w:top w:w="45" w:type="dxa"/>
              <w:start w:w="50" w:type="dxa"/>
              <w:bottom w:w="45" w:type="dxa"/>
              <w:end w:w="50" w:type="dxa"/>
            </w:tcMar>
          </w:tcPr>
          <w:p>
            <w:pPr>
              <w:spacing w:after="0"/>
            </w:pPr>
            <w:r>
              <w:rPr>
                <w:rFonts w:ascii="Arial" w:hAnsi="Arial"/>
                <w:b w:val="0"/>
                <w:sz w:val="16"/>
              </w:rPr>
              <w:t>Upper fan reverse-thrust magnitude produced by the calibrated reverse-geometry mapping.</w:t>
            </w:r>
          </w:p>
        </w:tc>
        <w:tc>
          <w:tcPr>
            <w:tcW w:type="dxa" w:w="1152"/>
            <w:tcMar>
              <w:top w:w="45" w:type="dxa"/>
              <w:start w:w="50" w:type="dxa"/>
              <w:bottom w:w="45" w:type="dxa"/>
              <w:end w:w="50" w:type="dxa"/>
            </w:tcMar>
          </w:tcPr>
          <w:p>
            <w:pPr>
              <w:spacing w:after="0"/>
            </w:pPr>
            <w:r>
              <w:rPr>
                <w:rFonts w:ascii="Arial" w:hAnsi="Arial"/>
                <w:b w:val="0"/>
                <w:sz w:val="16"/>
              </w:rPr>
              <w:t>20,350 lbf</w:t>
            </w:r>
          </w:p>
        </w:tc>
        <w:tc>
          <w:tcPr>
            <w:tcW w:type="dxa" w:w="1800"/>
            <w:tcMar>
              <w:top w:w="45" w:type="dxa"/>
              <w:start w:w="50" w:type="dxa"/>
              <w:bottom w:w="45" w:type="dxa"/>
              <w:end w:w="50" w:type="dxa"/>
            </w:tcMar>
          </w:tcPr>
          <w:p>
            <w:pPr>
              <w:spacing w:after="0"/>
            </w:pPr>
            <w:r>
              <w:rPr>
                <w:rFonts w:ascii="Arial" w:hAnsi="Arial"/>
                <w:b w:val="0"/>
                <w:sz w:val="16"/>
              </w:rPr>
              <w:t>5,000 to 30,000 lbf</w:t>
            </w:r>
          </w:p>
        </w:tc>
        <w:tc>
          <w:tcPr>
            <w:tcW w:type="dxa" w:w="1080"/>
            <w:tcMar>
              <w:top w:w="45" w:type="dxa"/>
              <w:start w:w="50" w:type="dxa"/>
              <w:bottom w:w="45" w:type="dxa"/>
              <w:end w:w="50" w:type="dxa"/>
            </w:tcMar>
          </w:tcPr>
          <w:p>
            <w:pPr>
              <w:spacing w:after="0"/>
            </w:pPr>
            <w:r>
              <w:rPr>
                <w:rFonts w:ascii="Arial" w:hAnsi="Arial"/>
                <w:b w:val="0"/>
                <w:sz w:val="16"/>
              </w:rPr>
              <w:t>50 lbf</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Reverse geometry shape</w:t>
            </w:r>
          </w:p>
        </w:tc>
        <w:tc>
          <w:tcPr>
            <w:tcW w:type="dxa" w:w="4176"/>
            <w:tcMar>
              <w:top w:w="45" w:type="dxa"/>
              <w:start w:w="50" w:type="dxa"/>
              <w:bottom w:w="45" w:type="dxa"/>
              <w:end w:w="50" w:type="dxa"/>
            </w:tcMar>
          </w:tcPr>
          <w:p>
            <w:pPr>
              <w:spacing w:after="0"/>
            </w:pPr>
            <w:r>
              <w:rPr>
                <w:rFonts w:ascii="Arial" w:hAnsi="Arial"/>
                <w:b w:val="0"/>
                <w:sz w:val="16"/>
              </w:rPr>
              <w:t>Shape parameter controlling the nonlinear mapping from raw fan reverse momentum to calibrated fan reverse thrust.</w:t>
            </w:r>
          </w:p>
        </w:tc>
        <w:tc>
          <w:tcPr>
            <w:tcW w:type="dxa" w:w="1152"/>
            <w:tcMar>
              <w:top w:w="45" w:type="dxa"/>
              <w:start w:w="50" w:type="dxa"/>
              <w:bottom w:w="45" w:type="dxa"/>
              <w:end w:w="50" w:type="dxa"/>
            </w:tcMar>
          </w:tcPr>
          <w:p>
            <w:pPr>
              <w:spacing w:after="0"/>
            </w:pPr>
            <w:r>
              <w:rPr>
                <w:rFonts w:ascii="Arial" w:hAnsi="Arial"/>
                <w:b w:val="0"/>
                <w:sz w:val="16"/>
              </w:rPr>
              <w:t>9</w:t>
            </w:r>
          </w:p>
        </w:tc>
        <w:tc>
          <w:tcPr>
            <w:tcW w:type="dxa" w:w="1800"/>
            <w:tcMar>
              <w:top w:w="45" w:type="dxa"/>
              <w:start w:w="50" w:type="dxa"/>
              <w:bottom w:w="45" w:type="dxa"/>
              <w:end w:w="50" w:type="dxa"/>
            </w:tcMar>
          </w:tcPr>
          <w:p>
            <w:pPr>
              <w:spacing w:after="0"/>
            </w:pPr>
            <w:r>
              <w:rPr>
                <w:rFonts w:ascii="Arial" w:hAnsi="Arial"/>
                <w:b w:val="0"/>
                <w:sz w:val="16"/>
              </w:rPr>
              <w:t>0.5 to 20</w:t>
            </w:r>
          </w:p>
        </w:tc>
        <w:tc>
          <w:tcPr>
            <w:tcW w:type="dxa" w:w="1080"/>
            <w:tcMar>
              <w:top w:w="45" w:type="dxa"/>
              <w:start w:w="50" w:type="dxa"/>
              <w:bottom w:w="45" w:type="dxa"/>
              <w:end w:w="50" w:type="dxa"/>
            </w:tcMar>
          </w:tcPr>
          <w:p>
            <w:pPr>
              <w:spacing w:after="0"/>
            </w:pPr>
            <w:r>
              <w:rPr>
                <w:rFonts w:ascii="Arial" w:hAnsi="Arial"/>
                <w:b w:val="0"/>
                <w:sz w:val="16"/>
              </w:rPr>
              <w:t>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Reverse thrust transition time</w:t>
            </w:r>
          </w:p>
        </w:tc>
        <w:tc>
          <w:tcPr>
            <w:tcW w:type="dxa" w:w="4176"/>
            <w:tcMar>
              <w:top w:w="45" w:type="dxa"/>
              <w:start w:w="50" w:type="dxa"/>
              <w:bottom w:w="45" w:type="dxa"/>
              <w:end w:w="50" w:type="dxa"/>
            </w:tcMar>
          </w:tcPr>
          <w:p>
            <w:pPr>
              <w:spacing w:after="0"/>
            </w:pPr>
            <w:r>
              <w:rPr>
                <w:rFonts w:ascii="Arial" w:hAnsi="Arial"/>
                <w:b w:val="0"/>
                <w:sz w:val="16"/>
              </w:rPr>
              <w:t>Smoothing time used when transitioning reverse thrust to avoid an instantaneous force discontinuity.</w:t>
            </w:r>
          </w:p>
        </w:tc>
        <w:tc>
          <w:tcPr>
            <w:tcW w:type="dxa" w:w="1152"/>
            <w:tcMar>
              <w:top w:w="45" w:type="dxa"/>
              <w:start w:w="50" w:type="dxa"/>
              <w:bottom w:w="45" w:type="dxa"/>
              <w:end w:w="50" w:type="dxa"/>
            </w:tcMar>
          </w:tcPr>
          <w:p>
            <w:pPr>
              <w:spacing w:after="0"/>
            </w:pPr>
            <w:r>
              <w:rPr>
                <w:rFonts w:ascii="Arial" w:hAnsi="Arial"/>
                <w:b w:val="0"/>
                <w:sz w:val="16"/>
              </w:rPr>
              <w:t>2 s</w:t>
            </w:r>
          </w:p>
        </w:tc>
        <w:tc>
          <w:tcPr>
            <w:tcW w:type="dxa" w:w="1800"/>
            <w:tcMar>
              <w:top w:w="45" w:type="dxa"/>
              <w:start w:w="50" w:type="dxa"/>
              <w:bottom w:w="45" w:type="dxa"/>
              <w:end w:w="50" w:type="dxa"/>
            </w:tcMar>
          </w:tcPr>
          <w:p>
            <w:pPr>
              <w:spacing w:after="0"/>
            </w:pPr>
            <w:r>
              <w:rPr>
                <w:rFonts w:ascii="Arial" w:hAnsi="Arial"/>
                <w:b w:val="0"/>
                <w:sz w:val="16"/>
              </w:rPr>
              <w:t>0.25 to 5 s</w:t>
            </w:r>
          </w:p>
        </w:tc>
        <w:tc>
          <w:tcPr>
            <w:tcW w:type="dxa" w:w="1080"/>
            <w:tcMar>
              <w:top w:w="45" w:type="dxa"/>
              <w:start w:w="50" w:type="dxa"/>
              <w:bottom w:w="45" w:type="dxa"/>
              <w:end w:w="50" w:type="dxa"/>
            </w:tcMar>
          </w:tcPr>
          <w:p>
            <w:pPr>
              <w:spacing w:after="0"/>
            </w:pPr>
            <w:r>
              <w:rPr>
                <w:rFonts w:ascii="Arial" w:hAnsi="Arial"/>
                <w:b w:val="0"/>
                <w:sz w:val="16"/>
              </w:rPr>
              <w:t>0.05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Detent 1 N2 command</w:t>
            </w:r>
          </w:p>
        </w:tc>
        <w:tc>
          <w:tcPr>
            <w:tcW w:type="dxa" w:w="4176"/>
            <w:tcMar>
              <w:top w:w="45" w:type="dxa"/>
              <w:start w:w="50" w:type="dxa"/>
              <w:bottom w:w="45" w:type="dxa"/>
              <w:end w:w="50" w:type="dxa"/>
            </w:tcMar>
          </w:tcPr>
          <w:p>
            <w:pPr>
              <w:spacing w:after="0"/>
            </w:pPr>
            <w:r>
              <w:rPr>
                <w:rFonts w:ascii="Arial" w:hAnsi="Arial"/>
                <w:b w:val="0"/>
                <w:sz w:val="16"/>
              </w:rPr>
              <w:t>N2 command associated with reverse Detent 1, with the FCU responsible for achieving the requested N2.</w:t>
            </w:r>
          </w:p>
        </w:tc>
        <w:tc>
          <w:tcPr>
            <w:tcW w:type="dxa" w:w="1152"/>
            <w:tcMar>
              <w:top w:w="45" w:type="dxa"/>
              <w:start w:w="50" w:type="dxa"/>
              <w:bottom w:w="45" w:type="dxa"/>
              <w:end w:w="50" w:type="dxa"/>
            </w:tcMar>
          </w:tcPr>
          <w:p>
            <w:pPr>
              <w:spacing w:after="0"/>
            </w:pPr>
            <w:r>
              <w:rPr>
                <w:rFonts w:ascii="Arial" w:hAnsi="Arial"/>
                <w:b w:val="0"/>
                <w:sz w:val="16"/>
              </w:rPr>
              <w:t>70 %</w:t>
            </w:r>
          </w:p>
        </w:tc>
        <w:tc>
          <w:tcPr>
            <w:tcW w:type="dxa" w:w="1800"/>
            <w:tcMar>
              <w:top w:w="45" w:type="dxa"/>
              <w:start w:w="50" w:type="dxa"/>
              <w:bottom w:w="45" w:type="dxa"/>
              <w:end w:w="50" w:type="dxa"/>
            </w:tcMar>
          </w:tcPr>
          <w:p>
            <w:pPr>
              <w:spacing w:after="0"/>
            </w:pPr>
            <w:r>
              <w:rPr>
                <w:rFonts w:ascii="Arial" w:hAnsi="Arial"/>
                <w:b w:val="0"/>
                <w:sz w:val="16"/>
              </w:rPr>
              <w:t>60 to 100 %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Detent 2 N2 command</w:t>
            </w:r>
          </w:p>
        </w:tc>
        <w:tc>
          <w:tcPr>
            <w:tcW w:type="dxa" w:w="4176"/>
            <w:tcMar>
              <w:top w:w="45" w:type="dxa"/>
              <w:start w:w="50" w:type="dxa"/>
              <w:bottom w:w="45" w:type="dxa"/>
              <w:end w:w="50" w:type="dxa"/>
            </w:tcMar>
          </w:tcPr>
          <w:p>
            <w:pPr>
              <w:spacing w:after="0"/>
            </w:pPr>
            <w:r>
              <w:rPr>
                <w:rFonts w:ascii="Arial" w:hAnsi="Arial"/>
                <w:b w:val="0"/>
                <w:sz w:val="16"/>
              </w:rPr>
              <w:t>N2 command associated with reverse Detent 2.</w:t>
            </w:r>
          </w:p>
        </w:tc>
        <w:tc>
          <w:tcPr>
            <w:tcW w:type="dxa" w:w="1152"/>
            <w:tcMar>
              <w:top w:w="45" w:type="dxa"/>
              <w:start w:w="50" w:type="dxa"/>
              <w:bottom w:w="45" w:type="dxa"/>
              <w:end w:w="50" w:type="dxa"/>
            </w:tcMar>
          </w:tcPr>
          <w:p>
            <w:pPr>
              <w:spacing w:after="0"/>
            </w:pPr>
            <w:r>
              <w:rPr>
                <w:rFonts w:ascii="Arial" w:hAnsi="Arial"/>
                <w:b w:val="0"/>
                <w:sz w:val="16"/>
              </w:rPr>
              <w:t>85 %</w:t>
            </w:r>
          </w:p>
        </w:tc>
        <w:tc>
          <w:tcPr>
            <w:tcW w:type="dxa" w:w="1800"/>
            <w:tcMar>
              <w:top w:w="45" w:type="dxa"/>
              <w:start w:w="50" w:type="dxa"/>
              <w:bottom w:w="45" w:type="dxa"/>
              <w:end w:w="50" w:type="dxa"/>
            </w:tcMar>
          </w:tcPr>
          <w:p>
            <w:pPr>
              <w:spacing w:after="0"/>
            </w:pPr>
            <w:r>
              <w:rPr>
                <w:rFonts w:ascii="Arial" w:hAnsi="Arial"/>
                <w:b w:val="0"/>
                <w:sz w:val="16"/>
              </w:rPr>
              <w:t>60 to 100 %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reverse N2 command</w:t>
            </w:r>
          </w:p>
        </w:tc>
        <w:tc>
          <w:tcPr>
            <w:tcW w:type="dxa" w:w="4176"/>
            <w:tcMar>
              <w:top w:w="45" w:type="dxa"/>
              <w:start w:w="50" w:type="dxa"/>
              <w:bottom w:w="45" w:type="dxa"/>
              <w:end w:w="50" w:type="dxa"/>
            </w:tcMar>
          </w:tcPr>
          <w:p>
            <w:pPr>
              <w:spacing w:after="0"/>
            </w:pPr>
            <w:r>
              <w:rPr>
                <w:rFonts w:ascii="Arial" w:hAnsi="Arial"/>
                <w:b w:val="0"/>
                <w:sz w:val="16"/>
              </w:rPr>
              <w:t>N2 command associated with maximum reverse.</w:t>
            </w:r>
          </w:p>
        </w:tc>
        <w:tc>
          <w:tcPr>
            <w:tcW w:type="dxa" w:w="1152"/>
            <w:tcMar>
              <w:top w:w="45" w:type="dxa"/>
              <w:start w:w="50" w:type="dxa"/>
              <w:bottom w:w="45" w:type="dxa"/>
              <w:end w:w="50" w:type="dxa"/>
            </w:tcMar>
          </w:tcPr>
          <w:p>
            <w:pPr>
              <w:spacing w:after="0"/>
            </w:pPr>
            <w:r>
              <w:rPr>
                <w:rFonts w:ascii="Arial" w:hAnsi="Arial"/>
                <w:b w:val="0"/>
                <w:sz w:val="16"/>
              </w:rPr>
              <w:t>100 %</w:t>
            </w:r>
          </w:p>
        </w:tc>
        <w:tc>
          <w:tcPr>
            <w:tcW w:type="dxa" w:w="1800"/>
            <w:tcMar>
              <w:top w:w="45" w:type="dxa"/>
              <w:start w:w="50" w:type="dxa"/>
              <w:bottom w:w="45" w:type="dxa"/>
              <w:end w:w="50" w:type="dxa"/>
            </w:tcMar>
          </w:tcPr>
          <w:p>
            <w:pPr>
              <w:spacing w:after="0"/>
            </w:pPr>
            <w:r>
              <w:rPr>
                <w:rFonts w:ascii="Arial" w:hAnsi="Arial"/>
                <w:b w:val="0"/>
                <w:sz w:val="16"/>
              </w:rPr>
              <w:t>60 to 104 %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Stow allowed at/below N2</w:t>
            </w:r>
          </w:p>
        </w:tc>
        <w:tc>
          <w:tcPr>
            <w:tcW w:type="dxa" w:w="4176"/>
            <w:tcMar>
              <w:top w:w="45" w:type="dxa"/>
              <w:start w:w="50" w:type="dxa"/>
              <w:bottom w:w="45" w:type="dxa"/>
              <w:end w:w="50" w:type="dxa"/>
            </w:tcMar>
          </w:tcPr>
          <w:p>
            <w:pPr>
              <w:spacing w:after="0"/>
            </w:pPr>
            <w:r>
              <w:rPr>
                <w:rFonts w:ascii="Arial" w:hAnsi="Arial"/>
                <w:b w:val="0"/>
                <w:sz w:val="16"/>
              </w:rPr>
              <w:t>Maximum actual N2 at which the reverser is allowed to begin stowing; higher N2 holds the system in idle reverse until spool-down.</w:t>
            </w:r>
          </w:p>
        </w:tc>
        <w:tc>
          <w:tcPr>
            <w:tcW w:type="dxa" w:w="1152"/>
            <w:tcMar>
              <w:top w:w="45" w:type="dxa"/>
              <w:start w:w="50" w:type="dxa"/>
              <w:bottom w:w="45" w:type="dxa"/>
              <w:end w:w="50" w:type="dxa"/>
            </w:tcMar>
          </w:tcPr>
          <w:p>
            <w:pPr>
              <w:spacing w:after="0"/>
            </w:pPr>
            <w:r>
              <w:rPr>
                <w:rFonts w:ascii="Arial" w:hAnsi="Arial"/>
                <w:b w:val="0"/>
                <w:sz w:val="16"/>
              </w:rPr>
              <w:t>65 %</w:t>
            </w:r>
          </w:p>
        </w:tc>
        <w:tc>
          <w:tcPr>
            <w:tcW w:type="dxa" w:w="1800"/>
            <w:tcMar>
              <w:top w:w="45" w:type="dxa"/>
              <w:start w:w="50" w:type="dxa"/>
              <w:bottom w:w="45" w:type="dxa"/>
              <w:end w:w="50" w:type="dxa"/>
            </w:tcMar>
          </w:tcPr>
          <w:p>
            <w:pPr>
              <w:spacing w:after="0"/>
            </w:pPr>
            <w:r>
              <w:rPr>
                <w:rFonts w:ascii="Arial" w:hAnsi="Arial"/>
                <w:b w:val="0"/>
                <w:sz w:val="16"/>
              </w:rPr>
              <w:t>55 to 75 %</w:t>
            </w:r>
          </w:p>
        </w:tc>
        <w:tc>
          <w:tcPr>
            <w:tcW w:type="dxa" w:w="1080"/>
            <w:tcMar>
              <w:top w:w="45" w:type="dxa"/>
              <w:start w:w="50" w:type="dxa"/>
              <w:bottom w:w="45" w:type="dxa"/>
              <w:end w:w="50" w:type="dxa"/>
            </w:tcMar>
          </w:tcPr>
          <w:p>
            <w:pPr>
              <w:spacing w:after="0"/>
            </w:pPr>
            <w:r>
              <w:rPr>
                <w:rFonts w:ascii="Arial" w:hAnsi="Arial"/>
                <w:b w:val="0"/>
                <w:sz w:val="16"/>
              </w:rPr>
              <w:t>0.5 %</w:t>
            </w:r>
          </w:p>
        </w:tc>
      </w:tr>
    </w:tbl>
    <w:p>
      <w:pPr>
        <w:spacing w:after="40"/>
      </w:pPr>
    </w:p>
    <w:p>
      <w:pPr>
        <w:pStyle w:val="Heading1"/>
        <w:keepNext/>
        <w:pageBreakBefore w:val="0"/>
        <w:spacing w:before="280"/>
      </w:pPr>
      <w:r>
        <w:rPr>
          <w:rFonts w:ascii="Arial" w:hAnsi="Arial"/>
          <w:b/>
          <w:color w:val="153F60"/>
          <w:sz w:val="36"/>
        </w:rPr>
        <w:t>Appendix</w:t>
      </w:r>
    </w:p>
    <w:p>
      <w:pPr>
        <w:pStyle w:val="Heading2"/>
        <w:keepNext/>
      </w:pPr>
      <w:r>
        <w:rPr>
          <w:rFonts w:ascii="Arial" w:hAnsi="Arial"/>
          <w:b/>
          <w:color w:val="1D587D"/>
          <w:sz w:val="28"/>
        </w:rPr>
        <w:t>Modeling Turbofans</w:t>
      </w:r>
    </w:p>
    <w:p>
      <w:pPr>
        <w:spacing w:before="0" w:after="120" w:line="259" w:lineRule="auto"/>
      </w:pPr>
      <w:r>
        <w:rPr>
          <w:rFonts w:ascii="Arial" w:hAnsi="Arial"/>
          <w:sz w:val="24"/>
        </w:rPr>
        <w:t>Adapting TurboModel to another engine family should preserve the governing physics and replace only the engine-specific architecture, geometry, component data, maps, limits, and control calibration required by the target engine.</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Modeling integrity. </w:t>
            </w:r>
            <w:r>
              <w:rPr>
                <w:rFonts w:ascii="Arial" w:hAnsi="Arial"/>
                <w:sz w:val="23"/>
              </w:rPr>
              <w:t>Engine development should adhere rigorously to the underlying thermodynamic, aerodynamic, mechanical, and control science. Actual engine information and credible published or test data should be used wherever available; engineering estimates should be identified as estimates and replaced when better data becomes available. Calibration should refine the physical model, not conceal an error in one subsystem by forcing another subsystem to compensate for it.</w:t>
            </w:r>
          </w:p>
        </w:tc>
      </w:tr>
    </w:tbl>
    <w:p>
      <w:pPr>
        <w:spacing w:after="40"/>
      </w:pPr>
    </w:p>
    <w:p>
      <w:pPr>
        <w:spacing w:before="80" w:after="60"/>
      </w:pPr>
      <w:r>
        <w:rPr>
          <w:rFonts w:ascii="Arial" w:hAnsi="Arial"/>
          <w:b/>
          <w:color w:val="1F5F8B"/>
          <w:sz w:val="23"/>
        </w:rPr>
        <w:t>What stays the same</w:t>
      </w:r>
    </w:p>
    <w:p>
      <w:pPr>
        <w:spacing w:before="0" w:after="80" w:line="259" w:lineRule="auto"/>
      </w:pPr>
      <w:r>
        <w:rPr>
          <w:rFonts w:ascii="Arial" w:hAnsi="Arial"/>
          <w:sz w:val="22"/>
        </w:rPr>
        <w:t>Conservation of mass and energy, compressible-flow relationships, Brayton-cycle thermodynamics, corrected flow and corrected speed, compressor and turbine map methods, shaft work balance, rotational dynamics, nozzle momentum, and numerical time integration remain the foundation of the model.</w:t>
      </w:r>
    </w:p>
    <w:p>
      <w:pPr>
        <w:spacing w:before="80" w:after="60"/>
      </w:pPr>
      <w:r>
        <w:rPr>
          <w:rFonts w:ascii="Arial" w:hAnsi="Arial"/>
          <w:b/>
          <w:color w:val="1F5F8B"/>
          <w:sz w:val="23"/>
        </w:rPr>
        <w:t>What is engine-specific</w:t>
      </w:r>
    </w:p>
    <w:p>
      <w:pPr>
        <w:spacing w:before="0" w:after="80" w:line="259" w:lineRule="auto"/>
      </w:pPr>
      <w:r>
        <w:rPr>
          <w:rFonts w:ascii="Arial" w:hAnsi="Arial"/>
          <w:sz w:val="22"/>
        </w:rPr>
        <w:t>Fan and core size, mass-flow capacity, bypass ratio, pressure-ratio split, component efficiencies, design shaft speeds, map scaling, turbine work, nozzle areas, spool inertia, accessory loads, combustor behavior, start schedule, fuel-control schedule, and reverse-thrust calibration must be matched to the target engine.</w:t>
      </w:r>
    </w:p>
    <w:p>
      <w:pPr>
        <w:spacing w:before="80" w:after="60"/>
      </w:pPr>
      <w:r>
        <w:rPr>
          <w:rFonts w:ascii="Arial" w:hAnsi="Arial"/>
          <w:b/>
          <w:color w:val="1F5F8B"/>
          <w:sz w:val="23"/>
        </w:rPr>
        <w:t>What may require a model-structure extension</w:t>
      </w:r>
    </w:p>
    <w:p>
      <w:pPr>
        <w:spacing w:before="0" w:after="80" w:line="259" w:lineRule="auto"/>
      </w:pPr>
      <w:r>
        <w:rPr>
          <w:rFonts w:ascii="Arial" w:hAnsi="Arial"/>
          <w:sz w:val="22"/>
        </w:rPr>
        <w:t>The spool arrangement must match the engine. A two-spool target can use the existing two-spool structure as a starting point. Adding a third spool is primarily a software/model-structure extension within TurboModel: another independently integrated shaft is added with its compressor/turbine pair, work balance, inertia, speed, maps, limits, controls, and instrumentation. The governing aerodynamic, thermodynamic, and shaft-dynamic principles do not change.</w:t>
      </w:r>
    </w:p>
    <w:p>
      <w:pPr>
        <w:pStyle w:val="Heading3"/>
        <w:keepNext/>
      </w:pPr>
      <w:r>
        <w:rPr>
          <w:rFonts w:ascii="Arial" w:hAnsi="Arial"/>
          <w:b/>
          <w:color w:val="294B63"/>
          <w:sz w:val="24"/>
        </w:rPr>
        <w:t>Suggested conversion workflow</w:t>
      </w:r>
    </w:p>
    <w:p>
      <w:pPr>
        <w:spacing w:after="100"/>
        <w:ind w:left="259" w:hanging="259"/>
      </w:pPr>
      <w:r>
        <w:rPr>
          <w:rFonts w:ascii="Arial" w:hAnsi="Arial"/>
          <w:b/>
          <w:color w:val="1F5F8B"/>
          <w:sz w:val="23"/>
        </w:rPr>
        <w:t xml:space="preserve">1. </w:t>
      </w:r>
      <w:r>
        <w:rPr>
          <w:rFonts w:ascii="Arial" w:hAnsi="Arial"/>
          <w:b/>
          <w:sz w:val="23"/>
        </w:rPr>
        <w:t>Define the engine architecture.</w:t>
      </w:r>
      <w:r>
        <w:rPr>
          <w:rFonts w:ascii="Arial" w:hAnsi="Arial"/>
          <w:sz w:val="23"/>
        </w:rPr>
        <w:t xml:space="preserve"> Identify the number of spools, fan/booster/compressor arrangement, turbine arrangement, bypass stream, mixer/nozzle configuration, and reverse-thrust arrangement.</w:t>
      </w:r>
    </w:p>
    <w:p>
      <w:pPr>
        <w:spacing w:after="100"/>
        <w:ind w:left="259" w:hanging="259"/>
      </w:pPr>
      <w:r>
        <w:rPr>
          <w:rFonts w:ascii="Arial" w:hAnsi="Arial"/>
          <w:b/>
          <w:color w:val="1F5F8B"/>
          <w:sz w:val="23"/>
        </w:rPr>
        <w:t xml:space="preserve">2. </w:t>
      </w:r>
      <w:r>
        <w:rPr>
          <w:rFonts w:ascii="Arial" w:hAnsi="Arial"/>
          <w:b/>
          <w:sz w:val="23"/>
        </w:rPr>
        <w:t>Establish physical scale.</w:t>
      </w:r>
      <w:r>
        <w:rPr>
          <w:rFonts w:ascii="Arial" w:hAnsi="Arial"/>
          <w:sz w:val="23"/>
        </w:rPr>
        <w:t xml:space="preserve"> Enter or derive fan diameter, representative flow areas, design mass flow, bypass ratio, core size, nozzle areas, and other dimensions that set the engine's flow capacity.</w:t>
      </w:r>
    </w:p>
    <w:p>
      <w:pPr>
        <w:spacing w:after="100"/>
        <w:ind w:left="259" w:hanging="259"/>
      </w:pPr>
      <w:r>
        <w:rPr>
          <w:rFonts w:ascii="Arial" w:hAnsi="Arial"/>
          <w:b/>
          <w:color w:val="1F5F8B"/>
          <w:sz w:val="23"/>
        </w:rPr>
        <w:t xml:space="preserve">3. </w:t>
      </w:r>
      <w:r>
        <w:rPr>
          <w:rFonts w:ascii="Arial" w:hAnsi="Arial"/>
          <w:b/>
          <w:sz w:val="23"/>
        </w:rPr>
        <w:t>Establish the design point.</w:t>
      </w:r>
      <w:r>
        <w:rPr>
          <w:rFonts w:ascii="Arial" w:hAnsi="Arial"/>
          <w:sz w:val="23"/>
        </w:rPr>
        <w:t xml:space="preserve"> Match rated thrust, design N1/N2 (and N3 where applicable), overall and component pressure ratios, corrected flows, turbine inlet conditions, efficiencies, and exhaust conditions at a known operating point.</w:t>
      </w:r>
    </w:p>
    <w:p>
      <w:pPr>
        <w:spacing w:after="100"/>
        <w:ind w:left="259" w:hanging="259"/>
      </w:pPr>
      <w:r>
        <w:rPr>
          <w:rFonts w:ascii="Arial" w:hAnsi="Arial"/>
          <w:b/>
          <w:color w:val="1F5F8B"/>
          <w:sz w:val="23"/>
        </w:rPr>
        <w:t xml:space="preserve">4. </w:t>
      </w:r>
      <w:r>
        <w:rPr>
          <w:rFonts w:ascii="Arial" w:hAnsi="Arial"/>
          <w:b/>
          <w:sz w:val="23"/>
        </w:rPr>
        <w:t>Install or scale component maps.</w:t>
      </w:r>
      <w:r>
        <w:rPr>
          <w:rFonts w:ascii="Arial" w:hAnsi="Arial"/>
          <w:sz w:val="23"/>
        </w:rPr>
        <w:t xml:space="preserve"> Use suitable fan, booster/LPC, HPC, and turbine maps; scale corrected flow, pressure ratio, efficiency, and speed coordinates so the maps reproduce the chosen design point while preserving useful off-design behavior.</w:t>
      </w:r>
    </w:p>
    <w:p>
      <w:pPr>
        <w:spacing w:after="100"/>
        <w:ind w:left="259" w:hanging="259"/>
      </w:pPr>
      <w:r>
        <w:rPr>
          <w:rFonts w:ascii="Arial" w:hAnsi="Arial"/>
          <w:b/>
          <w:color w:val="1F5F8B"/>
          <w:sz w:val="23"/>
        </w:rPr>
        <w:t xml:space="preserve">5. </w:t>
      </w:r>
      <w:r>
        <w:rPr>
          <w:rFonts w:ascii="Arial" w:hAnsi="Arial"/>
          <w:b/>
          <w:sz w:val="23"/>
        </w:rPr>
        <w:t>Match shaft dynamics.</w:t>
      </w:r>
      <w:r>
        <w:rPr>
          <w:rFonts w:ascii="Arial" w:hAnsi="Arial"/>
          <w:sz w:val="23"/>
        </w:rPr>
        <w:t xml:space="preserve"> Set spool inertias and accessory loads, then balance compressor power against turbine power on each shaft. Validate acceleration, deceleration, start, and wind-down response as well as steady thrust.</w:t>
      </w:r>
    </w:p>
    <w:p>
      <w:pPr>
        <w:spacing w:after="100"/>
        <w:ind w:left="259" w:hanging="259"/>
      </w:pPr>
      <w:r>
        <w:rPr>
          <w:rFonts w:ascii="Arial" w:hAnsi="Arial"/>
          <w:b/>
          <w:color w:val="1F5F8B"/>
          <w:sz w:val="23"/>
        </w:rPr>
        <w:t xml:space="preserve">6. </w:t>
      </w:r>
      <w:r>
        <w:rPr>
          <w:rFonts w:ascii="Arial" w:hAnsi="Arial"/>
          <w:b/>
          <w:sz w:val="23"/>
        </w:rPr>
        <w:t>Calibrate fuel and limits.</w:t>
      </w:r>
      <w:r>
        <w:rPr>
          <w:rFonts w:ascii="Arial" w:hAnsi="Arial"/>
          <w:sz w:val="23"/>
        </w:rPr>
        <w:t xml:space="preserve"> Tune lightoff, idle, acceleration/deceleration schedules, governing gains, temperature limits, fuel-air-ratio limits, and rated-speed commands for the target engine.</w:t>
      </w:r>
    </w:p>
    <w:p>
      <w:pPr>
        <w:spacing w:after="100"/>
        <w:ind w:left="259" w:hanging="259"/>
      </w:pPr>
      <w:r>
        <w:rPr>
          <w:rFonts w:ascii="Arial" w:hAnsi="Arial"/>
          <w:b/>
          <w:color w:val="1F5F8B"/>
          <w:sz w:val="23"/>
        </w:rPr>
        <w:t xml:space="preserve">7. </w:t>
      </w:r>
      <w:r>
        <w:rPr>
          <w:rFonts w:ascii="Arial" w:hAnsi="Arial"/>
          <w:b/>
          <w:sz w:val="23"/>
        </w:rPr>
        <w:t>Validate the complete envelope.</w:t>
      </w:r>
      <w:r>
        <w:rPr>
          <w:rFonts w:ascii="Arial" w:hAnsi="Arial"/>
          <w:sz w:val="23"/>
        </w:rPr>
        <w:t xml:space="preserve"> Compare sea-level static, altitude/Mach points, idle, intermediate and maximum power, transients, starts, and reverse operation against credible reference data before adopting the calibration.</w:t>
      </w:r>
    </w:p>
    <w:p>
      <w:pPr>
        <w:pStyle w:val="Heading3"/>
        <w:keepNext/>
      </w:pPr>
      <w:r>
        <w:rPr>
          <w:rFonts w:ascii="Arial" w:hAnsi="Arial"/>
          <w:b/>
          <w:color w:val="294B63"/>
          <w:sz w:val="24"/>
        </w:rPr>
        <w:t>Examples</w:t>
      </w:r>
    </w:p>
    <w:p>
      <w:pPr>
        <w:spacing w:before="80" w:after="60"/>
      </w:pPr>
      <w:r>
        <w:rPr>
          <w:rFonts w:ascii="Arial" w:hAnsi="Arial"/>
          <w:b/>
          <w:color w:val="1F5F8B"/>
          <w:sz w:val="23"/>
        </w:rPr>
        <w:t>GE90 family</w:t>
      </w:r>
    </w:p>
    <w:p>
      <w:pPr>
        <w:spacing w:before="0" w:after="80" w:line="259" w:lineRule="auto"/>
      </w:pPr>
      <w:r>
        <w:rPr>
          <w:rFonts w:ascii="Arial" w:hAnsi="Arial"/>
          <w:sz w:val="22"/>
        </w:rPr>
        <w:t>A two-spool GE90-type engine can use the existing two-spool model structure as a starting point. The physical scale, mass-flow capacity, bypass ratio, compressor and turbine characteristics, shaft speeds and inertias, nozzle geometry, control calibration, and thrust targets must be matched to the selected GE90 variant.</w:t>
      </w:r>
    </w:p>
    <w:p>
      <w:pPr>
        <w:spacing w:before="80" w:after="60"/>
      </w:pPr>
      <w:r>
        <w:rPr>
          <w:rFonts w:ascii="Arial" w:hAnsi="Arial"/>
          <w:b/>
          <w:color w:val="1F5F8B"/>
          <w:sz w:val="23"/>
        </w:rPr>
        <w:t>PW4000 family</w:t>
      </w:r>
    </w:p>
    <w:p>
      <w:pPr>
        <w:spacing w:before="0" w:after="80" w:line="259" w:lineRule="auto"/>
      </w:pPr>
      <w:r>
        <w:rPr>
          <w:rFonts w:ascii="Arial" w:hAnsi="Arial"/>
          <w:sz w:val="22"/>
        </w:rPr>
        <w:t>A PW4000-type engine is also fundamentally compatible with a two-spool arrangement, but its geometry, flow capacity, maps, pressure-ratio distribution, spool dynamics, fuel schedule, limits, and performance targets must be represented independently rather than by simple thrust scaling.</w:t>
      </w:r>
    </w:p>
    <w:p>
      <w:pPr>
        <w:spacing w:before="80" w:after="60"/>
      </w:pPr>
      <w:r>
        <w:rPr>
          <w:rFonts w:ascii="Arial" w:hAnsi="Arial"/>
          <w:b/>
          <w:color w:val="1F5F8B"/>
          <w:sz w:val="23"/>
        </w:rPr>
        <w:t>Trent 500 family</w:t>
      </w:r>
    </w:p>
    <w:p>
      <w:pPr>
        <w:spacing w:before="0" w:after="80" w:line="259" w:lineRule="auto"/>
      </w:pPr>
      <w:r>
        <w:rPr>
          <w:rFonts w:ascii="Arial" w:hAnsi="Arial"/>
          <w:sz w:val="22"/>
        </w:rPr>
        <w:t>The Trent 500 uses a three-spool arrangement. The same aerodynamic and thermodynamic principles still apply, but TurboModel must add the intermediate-pressure spool as its own dynamic shaft with the corresponding compressor and turbine work balance, maps, inertia, speed, limits, controls, and instrumentation. This third spool is principally a software extension of the existing model. TurboFanLab would provide a dedicated N3/IP-spool parameter group—potentially through a popup or separate parameter panel—so the additional spool can be configured and tuned without crowding the normal two-spool controls.</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Modeling principle:</w:t>
            </w:r>
            <w:r>
              <w:rPr>
                <w:rFonts w:ascii="Arial" w:hAnsi="Arial"/>
                <w:sz w:val="23"/>
              </w:rPr>
              <w:t xml:space="preserve"> adapting TurboModel to another engine family should preserve the physics and replace the engine-specific scale, component behavior, architecture, and calibration. A different engine is not created by multiplying thrust by a scale factor.</w:t>
            </w:r>
          </w:p>
        </w:tc>
      </w:tr>
    </w:tbl>
    <w:p>
      <w:pPr>
        <w:spacing w:after="40"/>
      </w:pPr>
    </w:p>
    <w:p>
      <w:pPr>
        <w:spacing w:before="360" w:after="0"/>
        <w:jc w:val="center"/>
      </w:pPr>
      <w:r>
        <w:rPr>
          <w:rFonts w:ascii="Arial" w:hAnsi="Arial"/>
          <w:color w:val="5A6774"/>
          <w:sz w:val="17"/>
        </w:rPr>
      </w:r>
      <w:r>
        <w:rPr>
          <w:rFonts w:ascii="Arial" w:hAnsi="Arial"/>
        </w:rPr>
        <w:t>TurboFan_7 TurboFanLab / TurboModel User Manual · Rev 1.13 · contact@turbofanmodeling.org</w:t>
      </w:r>
    </w:p>
    <w:sectPr>
      <w:footerReference w:type="default" r:id="rId9"/>
      <w:pgSz w:w="12240" w:h="15840"/>
      <w:pgMar w:top="936"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A6774"/>
        <w:sz w:val="17"/>
      </w:rPr>
      <w:t>TurboFan_7 User Manual - Rev 1.13</w:t>
    </w:r>
    <w:r>
      <w:t xml:space="preserve">     </w:t>
    </w:r>
    <w:r>
      <w:rPr>
        <w:rFonts w:ascii="Arial" w:hAnsi="Arial"/>
        <w:color w:val="5A6774"/>
        <w:sz w:val="18"/>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3F6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D587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94B6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TurboFan_7 User Manual - Rev 1.13</dc:title>
  <dc:subject>TurboFanLab / TurboModel User Manual</dc:subject>
  <dc:creator/>
  <cp:keywords/>
  <dc:description>DOCX copy generated from the published Rev 1.13 HTML manual.</dc:description>
  <cp:lastModifiedBy/>
  <cp:revision>1</cp:revision>
  <dcterms:created xsi:type="dcterms:W3CDTF">2013-12-23T23:15:00Z</dcterms:created>
  <dcterms:modified xsi:type="dcterms:W3CDTF">2013-12-23T23:15:00Z</dcterms:modified>
  <cp:category/>
</cp:coreProperties>
</file>